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hint="eastAsia" w:ascii="方正粗黑宋简体" w:hAnsi="方正粗黑宋简体" w:eastAsia="方正粗黑宋简体" w:cs="方正粗黑宋简体"/>
          <w:b/>
          <w:bCs/>
          <w:color w:val="FF0000"/>
          <w:sz w:val="52"/>
          <w:szCs w:val="52"/>
        </w:rPr>
      </w:pPr>
      <w:r>
        <w:rPr>
          <w:rFonts w:hint="eastAsia" w:ascii="方正粗黑宋简体" w:hAnsi="方正粗黑宋简体" w:eastAsia="方正粗黑宋简体" w:cs="方正粗黑宋简体"/>
          <w:b/>
          <w:bCs/>
          <w:color w:val="FF0000"/>
          <w:sz w:val="52"/>
          <w:szCs w:val="52"/>
        </w:rPr>
        <w:t>公共管理学院信息简报</w:t>
      </w:r>
    </w:p>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rFonts w:hint="eastAsia" w:ascii="宋体" w:hAnsi="宋体" w:eastAsia="宋体"/>
          <w:b/>
          <w:bCs/>
          <w:color w:val="000000"/>
          <w:spacing w:val="0"/>
          <w:sz w:val="32"/>
          <w:szCs w:val="32"/>
          <w:lang w:eastAsia="zh-CN"/>
        </w:rPr>
      </w:pPr>
      <w:bookmarkStart w:id="0" w:name="_GoBack"/>
      <w:bookmarkEnd w:id="0"/>
      <w:r>
        <w:rPr>
          <w:rFonts w:hint="eastAsia" w:ascii="宋体" w:hAnsi="宋体" w:eastAsia="宋体"/>
          <w:b/>
          <w:bCs/>
          <w:color w:val="000000"/>
          <w:spacing w:val="0"/>
          <w:sz w:val="32"/>
          <w:szCs w:val="32"/>
          <w:lang w:eastAsia="zh-CN"/>
        </w:rPr>
        <w:t>（2022年第</w:t>
      </w:r>
      <w:r>
        <w:rPr>
          <w:rFonts w:hint="eastAsia" w:ascii="宋体" w:hAnsi="宋体" w:eastAsia="宋体"/>
          <w:b/>
          <w:bCs/>
          <w:color w:val="000000"/>
          <w:spacing w:val="0"/>
          <w:sz w:val="32"/>
          <w:szCs w:val="32"/>
          <w:lang w:val="en-US" w:eastAsia="zh-CN"/>
        </w:rPr>
        <w:t>2</w:t>
      </w:r>
      <w:r>
        <w:rPr>
          <w:rFonts w:hint="eastAsia" w:ascii="宋体" w:hAnsi="宋体" w:eastAsia="宋体"/>
          <w:b/>
          <w:bCs/>
          <w:color w:val="000000"/>
          <w:spacing w:val="0"/>
          <w:sz w:val="32"/>
          <w:szCs w:val="32"/>
          <w:lang w:eastAsia="zh-CN"/>
        </w:rPr>
        <w:t>期）</w:t>
      </w:r>
    </w:p>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rFonts w:hint="eastAsia" w:ascii="宋体" w:hAnsi="宋体" w:eastAsia="宋体"/>
          <w:b/>
          <w:bCs/>
          <w:color w:val="000000"/>
          <w:spacing w:val="0"/>
          <w:sz w:val="32"/>
          <w:szCs w:val="32"/>
          <w:lang w:eastAsia="zh-CN"/>
        </w:rPr>
      </w:pPr>
    </w:p>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rFonts w:hint="eastAsia" w:ascii="宋体" w:hAnsi="宋体" w:eastAsia="宋体"/>
          <w:b/>
          <w:bCs/>
          <w:color w:val="000000"/>
          <w:spacing w:val="0"/>
          <w:sz w:val="32"/>
          <w:szCs w:val="32"/>
          <w:lang w:eastAsia="zh-CN"/>
        </w:rPr>
      </w:pPr>
      <w:r>
        <w:rPr>
          <w:rFonts w:hint="eastAsia" w:ascii="宋体" w:hAnsi="宋体" w:eastAsia="宋体"/>
          <w:b/>
          <w:bCs/>
          <w:color w:val="000000"/>
          <w:spacing w:val="0"/>
          <w:sz w:val="32"/>
          <w:szCs w:val="32"/>
          <w:lang w:eastAsia="zh-CN"/>
        </w:rPr>
        <w:t>学院办公室</w:t>
      </w:r>
      <w:r>
        <w:rPr>
          <w:rFonts w:hint="eastAsia" w:ascii="宋体" w:hAnsi="宋体" w:eastAsia="宋体"/>
          <w:b/>
          <w:bCs/>
          <w:color w:val="000000"/>
          <w:spacing w:val="0"/>
          <w:sz w:val="32"/>
          <w:szCs w:val="32"/>
          <w:lang w:val="en-US" w:eastAsia="zh-CN"/>
        </w:rPr>
        <w:t xml:space="preserve">                  2022年</w:t>
      </w:r>
      <w:r>
        <w:rPr>
          <w:rFonts w:hint="eastAsia" w:ascii="宋体" w:hAnsi="宋体" w:eastAsia="宋体"/>
          <w:b/>
          <w:bCs/>
          <w:color w:val="000000"/>
          <w:spacing w:val="0"/>
          <w:sz w:val="32"/>
          <w:szCs w:val="32"/>
          <w:lang w:eastAsia="zh-CN"/>
        </w:rPr>
        <w:t>3月25日</w:t>
      </w:r>
    </w:p>
    <w:p>
      <w:pPr>
        <w:snapToGrid w:val="0"/>
        <w:spacing w:before="0" w:after="0" w:line="15" w:lineRule="atLeast"/>
        <w:ind w:right="0"/>
        <w:jc w:val="both"/>
        <w:rPr>
          <w:rFonts w:hint="eastAsia" w:ascii="宋体" w:hAnsi="宋体" w:eastAsia="宋体"/>
          <w:b/>
          <w:bCs/>
          <w:color w:val="000000"/>
          <w:spacing w:val="0"/>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-262890</wp:posOffset>
                </wp:positionH>
                <wp:positionV relativeFrom="paragraph">
                  <wp:posOffset>74295</wp:posOffset>
                </wp:positionV>
                <wp:extent cx="5524500" cy="9525"/>
                <wp:effectExtent l="0" t="0" r="0" b="0"/>
                <wp:wrapNone/>
                <wp:docPr id="9" name="直接连接符 9"/>
                <wp:cNvGraphicFramePr/>
                <a:graphic xmlns:a="http://schemas.openxmlformats.org/drawingml/2006/main">
                  <a:graphicData uri="http://schemas.microsoft.com/office/word/2010/wordprocessingShape">
                    <wps:wsp>
                      <wps:cNvCnPr/>
                      <wps:spPr>
                        <a:xfrm flipV="1">
                          <a:off x="1175385" y="1734820"/>
                          <a:ext cx="5524500" cy="9525"/>
                        </a:xfrm>
                        <a:prstGeom prst="line">
                          <a:avLst/>
                        </a:prstGeom>
                        <a:ln>
                          <a:solidFill>
                            <a:srgbClr val="0070C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_x0000_s1026" o:spid="_x0000_s1026" o:spt="20" style="position:absolute;left:0pt;flip:y;margin-left:-20.7pt;margin-top:5.85pt;height:0.75pt;width:435pt;z-index:251659264;mso-width-relative:page;mso-height-relative:page;" filled="f" stroked="t" coordsize="21600,21600" o:gfxdata="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Bxkp2gAAAAkBAAAPAAAAAAAAAAEAIAAAACIAAABkcnMvZG93bnJldi54bWxQSwECFAAU&#10;AAAACACHTuJAgbFQU+8BAACzAwAADgAAAAAAAAABACAAAAApAQAAZHJzL2Uyb0RvYy54bWxQSwUG&#10;AAAAAAYABgBZAQAAigUAAAAA&#10;">
                <v:fill on="f" focussize="0,0"/>
                <v:stroke color="#0070C0 [3209]"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截止3月25日，学院教职工完成第三针“新冠”疫苗加强针接种共41人；14人已经完成第二针“新冠”疫苗接种，由于身体和时间还没到达的原因没法接种第三针；2人已经完成第一针“新冠”疫苗接种，由于身体原因无法继续接种另外两针；9人完全没有“新冠”疫苗接种的，均为身体原因无法接种的。</w:t>
      </w:r>
      <w:r>
        <w:rPr>
          <w:rFonts w:hint="eastAsia" w:ascii="楷体" w:hAnsi="楷体" w:eastAsia="楷体" w:cs="楷体"/>
          <w:color w:val="000000"/>
          <w:sz w:val="36"/>
          <w:szCs w:val="36"/>
          <w:lang w:eastAsia="zh-CN"/>
        </w:rPr>
        <w:t>本科生应返校人数</w:t>
      </w:r>
      <w:r>
        <w:rPr>
          <w:rFonts w:hint="eastAsia" w:ascii="楷体" w:hAnsi="楷体" w:eastAsia="楷体" w:cs="楷体"/>
          <w:color w:val="000000"/>
          <w:sz w:val="36"/>
          <w:szCs w:val="36"/>
          <w:lang w:val="en-US" w:eastAsia="zh-CN"/>
        </w:rPr>
        <w:t>1687人（广州校区801人、佛山校区886人），因疫情暂缓返校178人；广州校区第三针疫苗加强针到期779人，完成736人，</w:t>
      </w:r>
      <w:r>
        <w:rPr>
          <w:rFonts w:hint="eastAsia" w:ascii="楷体" w:hAnsi="楷体" w:eastAsia="楷体" w:cs="楷体"/>
          <w:color w:val="000000"/>
          <w:sz w:val="36"/>
          <w:szCs w:val="36"/>
        </w:rPr>
        <w:t>接种率94.5%；佛山校区到期834人，完成656人，接种完成率78.6%。</w:t>
      </w:r>
      <w:r>
        <w:rPr>
          <w:rFonts w:hint="eastAsia" w:ascii="楷体" w:hAnsi="楷体" w:eastAsia="楷体" w:cs="楷体"/>
          <w:color w:val="000000"/>
          <w:sz w:val="36"/>
          <w:szCs w:val="36"/>
          <w:lang w:eastAsia="zh-CN"/>
        </w:rPr>
        <w:t>研究生全日制</w:t>
      </w:r>
      <w:r>
        <w:rPr>
          <w:rFonts w:hint="eastAsia" w:ascii="楷体" w:hAnsi="楷体" w:eastAsia="楷体" w:cs="楷体"/>
          <w:color w:val="000000"/>
          <w:sz w:val="36"/>
          <w:szCs w:val="36"/>
          <w:lang w:val="en-US" w:eastAsia="zh-CN"/>
        </w:rPr>
        <w:t>96人，因疫情暂缓返校33人；第三针疫苗接种69人，接种率71.87%。</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720" w:firstLineChars="200"/>
        <w:jc w:val="both"/>
        <w:textAlignment w:val="auto"/>
        <w:rPr>
          <w:rFonts w:hint="eastAsia" w:ascii="楷体" w:hAnsi="楷体" w:eastAsia="楷体" w:cs="楷体"/>
          <w:color w:val="000000"/>
          <w:sz w:val="36"/>
          <w:szCs w:val="36"/>
          <w:lang w:val="en-US" w:eastAsia="zh-CN"/>
        </w:rPr>
      </w:pPr>
      <w:r>
        <w:rPr>
          <w:rFonts w:hint="eastAsia" w:ascii="楷体" w:hAnsi="楷体" w:eastAsia="楷体" w:cs="楷体"/>
          <w:color w:val="000000"/>
          <w:sz w:val="36"/>
          <w:szCs w:val="36"/>
        </w:rPr>
        <w:t>3月23日晚20点，召开线上学生疫情防控工作会议，</w:t>
      </w:r>
      <w:r>
        <w:rPr>
          <w:rFonts w:hint="eastAsia" w:ascii="楷体" w:hAnsi="楷体" w:eastAsia="楷体" w:cs="楷体"/>
          <w:color w:val="000000"/>
          <w:sz w:val="36"/>
          <w:szCs w:val="36"/>
          <w:lang w:eastAsia="zh-CN"/>
        </w:rPr>
        <w:t>院党委副书记李天德主持会议，</w:t>
      </w:r>
      <w:r>
        <w:rPr>
          <w:rFonts w:hint="eastAsia" w:ascii="楷体" w:hAnsi="楷体" w:eastAsia="楷体" w:cs="楷体"/>
          <w:color w:val="000000"/>
          <w:sz w:val="36"/>
          <w:szCs w:val="36"/>
        </w:rPr>
        <w:t>传达学校最新会议精神，并安排</w:t>
      </w:r>
      <w:r>
        <w:rPr>
          <w:rFonts w:hint="eastAsia" w:ascii="楷体" w:hAnsi="楷体" w:eastAsia="楷体" w:cs="楷体"/>
          <w:color w:val="000000"/>
          <w:sz w:val="36"/>
          <w:szCs w:val="36"/>
          <w:lang w:val="en-US" w:eastAsia="zh-CN"/>
        </w:rPr>
        <w:t>防疫</w:t>
      </w:r>
      <w:r>
        <w:rPr>
          <w:rFonts w:hint="eastAsia" w:ascii="楷体" w:hAnsi="楷体" w:eastAsia="楷体" w:cs="楷体"/>
          <w:color w:val="000000"/>
          <w:sz w:val="36"/>
          <w:szCs w:val="36"/>
        </w:rPr>
        <w:t>工作</w:t>
      </w:r>
      <w:r>
        <w:rPr>
          <w:rFonts w:hint="eastAsia" w:ascii="楷体" w:hAnsi="楷体" w:eastAsia="楷体" w:cs="楷体"/>
          <w:color w:val="000000"/>
          <w:sz w:val="36"/>
          <w:szCs w:val="36"/>
          <w:lang w:eastAsia="zh-CN"/>
        </w:rPr>
        <w:t>。</w:t>
      </w:r>
      <w:r>
        <w:rPr>
          <w:rFonts w:hint="eastAsia" w:ascii="楷体" w:hAnsi="楷体" w:eastAsia="楷体" w:cs="楷体"/>
          <w:color w:val="000000"/>
          <w:sz w:val="36"/>
          <w:szCs w:val="36"/>
          <w:lang w:val="en-US" w:eastAsia="zh-CN"/>
        </w:rPr>
        <w:t>一是召开主题班会，增强学生个人疫情防控意识。二是</w:t>
      </w:r>
      <w:r>
        <w:rPr>
          <w:rFonts w:hint="eastAsia" w:ascii="楷体" w:hAnsi="楷体" w:eastAsia="楷体" w:cs="楷体"/>
          <w:color w:val="000000"/>
          <w:sz w:val="36"/>
          <w:szCs w:val="36"/>
        </w:rPr>
        <w:t>督促</w:t>
      </w:r>
      <w:r>
        <w:rPr>
          <w:rFonts w:hint="eastAsia" w:ascii="楷体" w:hAnsi="楷体" w:eastAsia="楷体" w:cs="楷体"/>
          <w:color w:val="000000"/>
          <w:sz w:val="36"/>
          <w:szCs w:val="36"/>
          <w:lang w:val="en-US" w:eastAsia="zh-CN"/>
        </w:rPr>
        <w:t>学生每天完成</w:t>
      </w:r>
      <w:r>
        <w:rPr>
          <w:rFonts w:hint="eastAsia" w:ascii="楷体" w:hAnsi="楷体" w:eastAsia="楷体" w:cs="楷体"/>
          <w:color w:val="000000"/>
          <w:sz w:val="36"/>
          <w:szCs w:val="36"/>
        </w:rPr>
        <w:t>健康打卡，</w:t>
      </w:r>
      <w:r>
        <w:rPr>
          <w:rFonts w:hint="eastAsia" w:ascii="楷体" w:hAnsi="楷体" w:eastAsia="楷体" w:cs="楷体"/>
          <w:color w:val="000000"/>
          <w:sz w:val="36"/>
          <w:szCs w:val="36"/>
          <w:lang w:val="en-US" w:eastAsia="zh-CN"/>
        </w:rPr>
        <w:t>不漏一人。三是</w:t>
      </w:r>
      <w:r>
        <w:rPr>
          <w:rFonts w:hint="eastAsia" w:ascii="楷体" w:hAnsi="楷体" w:eastAsia="楷体" w:cs="楷体"/>
          <w:color w:val="000000"/>
          <w:sz w:val="36"/>
          <w:szCs w:val="36"/>
        </w:rPr>
        <w:t>严格学生</w:t>
      </w:r>
      <w:r>
        <w:rPr>
          <w:rFonts w:hint="eastAsia" w:ascii="楷体" w:hAnsi="楷体" w:eastAsia="楷体" w:cs="楷体"/>
          <w:color w:val="000000"/>
          <w:sz w:val="36"/>
          <w:szCs w:val="36"/>
          <w:lang w:val="en-US" w:eastAsia="zh-CN"/>
        </w:rPr>
        <w:t>进</w:t>
      </w:r>
      <w:r>
        <w:rPr>
          <w:rFonts w:hint="eastAsia" w:ascii="楷体" w:hAnsi="楷体" w:eastAsia="楷体" w:cs="楷体"/>
          <w:color w:val="000000"/>
          <w:sz w:val="36"/>
          <w:szCs w:val="36"/>
        </w:rPr>
        <w:t>出</w:t>
      </w:r>
      <w:r>
        <w:rPr>
          <w:rFonts w:hint="eastAsia" w:ascii="楷体" w:hAnsi="楷体" w:eastAsia="楷体" w:cs="楷体"/>
          <w:color w:val="000000"/>
          <w:sz w:val="36"/>
          <w:szCs w:val="36"/>
          <w:lang w:val="en-US" w:eastAsia="zh-CN"/>
        </w:rPr>
        <w:t>学</w:t>
      </w:r>
      <w:r>
        <w:rPr>
          <w:rFonts w:hint="eastAsia" w:ascii="楷体" w:hAnsi="楷体" w:eastAsia="楷体" w:cs="楷体"/>
          <w:color w:val="000000"/>
          <w:sz w:val="36"/>
          <w:szCs w:val="36"/>
        </w:rPr>
        <w:t>校</w:t>
      </w:r>
      <w:r>
        <w:rPr>
          <w:rFonts w:hint="eastAsia" w:ascii="楷体" w:hAnsi="楷体" w:eastAsia="楷体" w:cs="楷体"/>
          <w:color w:val="000000"/>
          <w:sz w:val="36"/>
          <w:szCs w:val="36"/>
          <w:lang w:val="en-US" w:eastAsia="zh-CN"/>
        </w:rPr>
        <w:t>审批</w:t>
      </w:r>
      <w:r>
        <w:rPr>
          <w:rFonts w:hint="eastAsia" w:ascii="楷体" w:hAnsi="楷体" w:eastAsia="楷体" w:cs="楷体"/>
          <w:color w:val="000000"/>
          <w:sz w:val="36"/>
          <w:szCs w:val="36"/>
        </w:rPr>
        <w:t>，</w:t>
      </w:r>
      <w:r>
        <w:rPr>
          <w:rFonts w:hint="eastAsia" w:ascii="楷体" w:hAnsi="楷体" w:eastAsia="楷体" w:cs="楷体"/>
          <w:color w:val="000000"/>
          <w:sz w:val="36"/>
          <w:szCs w:val="36"/>
          <w:lang w:val="en-US" w:eastAsia="zh-CN"/>
        </w:rPr>
        <w:t>非必要不外出。四是重构</w:t>
      </w:r>
      <w:r>
        <w:rPr>
          <w:rFonts w:hint="eastAsia" w:ascii="楷体" w:hAnsi="楷体" w:eastAsia="楷体" w:cs="楷体"/>
          <w:color w:val="000000"/>
          <w:sz w:val="36"/>
          <w:szCs w:val="36"/>
        </w:rPr>
        <w:t>疫情防控</w:t>
      </w:r>
      <w:r>
        <w:rPr>
          <w:rFonts w:hint="eastAsia" w:ascii="楷体" w:hAnsi="楷体" w:eastAsia="楷体" w:cs="楷体"/>
          <w:color w:val="000000"/>
          <w:sz w:val="36"/>
          <w:szCs w:val="36"/>
          <w:lang w:val="en-US" w:eastAsia="zh-CN"/>
        </w:rPr>
        <w:t>学生工作</w:t>
      </w:r>
      <w:r>
        <w:rPr>
          <w:rFonts w:hint="eastAsia" w:ascii="楷体" w:hAnsi="楷体" w:eastAsia="楷体" w:cs="楷体"/>
          <w:color w:val="000000"/>
          <w:sz w:val="36"/>
          <w:szCs w:val="36"/>
        </w:rPr>
        <w:t>队伍</w:t>
      </w:r>
      <w:r>
        <w:rPr>
          <w:rFonts w:hint="eastAsia" w:ascii="楷体" w:hAnsi="楷体" w:eastAsia="楷体" w:cs="楷体"/>
          <w:color w:val="000000"/>
          <w:sz w:val="36"/>
          <w:szCs w:val="36"/>
          <w:lang w:eastAsia="zh-CN"/>
        </w:rPr>
        <w:t>，</w:t>
      </w:r>
      <w:r>
        <w:rPr>
          <w:rFonts w:hint="eastAsia" w:ascii="楷体" w:hAnsi="楷体" w:eastAsia="楷体" w:cs="楷体"/>
          <w:color w:val="000000"/>
          <w:sz w:val="36"/>
          <w:szCs w:val="36"/>
          <w:lang w:val="en-US" w:eastAsia="zh-CN"/>
        </w:rPr>
        <w:t>建立疫情防控快速反应架构。五是按楼栋</w:t>
      </w:r>
      <w:r>
        <w:rPr>
          <w:rFonts w:hint="eastAsia" w:ascii="楷体" w:hAnsi="楷体" w:eastAsia="楷体" w:cs="楷体"/>
          <w:color w:val="000000"/>
          <w:sz w:val="36"/>
          <w:szCs w:val="36"/>
        </w:rPr>
        <w:t>组建学院疫情防控志愿者队伍，储备应急力量。</w:t>
      </w:r>
      <w:r>
        <w:rPr>
          <w:rFonts w:hint="eastAsia" w:ascii="楷体" w:hAnsi="楷体" w:eastAsia="楷体" w:cs="楷体"/>
          <w:color w:val="000000"/>
          <w:sz w:val="36"/>
          <w:szCs w:val="36"/>
          <w:lang w:val="en-US" w:eastAsia="zh-CN"/>
        </w:rPr>
        <w:t>六是掌握学生思想动态及关注重点群体，保障安稳。七是全方位掌握数据，建立台账。</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3月24日</w:t>
      </w:r>
      <w:r>
        <w:rPr>
          <w:rFonts w:hint="eastAsia" w:ascii="楷体" w:hAnsi="楷体" w:eastAsia="楷体" w:cs="楷体"/>
          <w:color w:val="000000"/>
          <w:sz w:val="36"/>
          <w:szCs w:val="36"/>
          <w:lang w:eastAsia="zh-CN"/>
        </w:rPr>
        <w:t>，</w:t>
      </w:r>
      <w:r>
        <w:rPr>
          <w:rFonts w:hint="eastAsia" w:ascii="楷体" w:hAnsi="楷体" w:eastAsia="楷体" w:cs="楷体"/>
          <w:color w:val="000000"/>
          <w:sz w:val="36"/>
          <w:szCs w:val="36"/>
          <w:lang w:val="en-US" w:eastAsia="zh-CN"/>
        </w:rPr>
        <w:t>学院对学生疫情防控数据进行梳理，分别对</w:t>
      </w:r>
      <w:r>
        <w:rPr>
          <w:rFonts w:hint="eastAsia" w:ascii="楷体" w:hAnsi="楷体" w:eastAsia="楷体" w:cs="楷体"/>
          <w:color w:val="000000"/>
          <w:sz w:val="36"/>
          <w:szCs w:val="36"/>
        </w:rPr>
        <w:t>对处在中高风险地区、近14天中高风险地区旅居史、近14天省外陆地口岸旅居史、重点关注地区、传染病史或处在发作期学生情况进行深度摸排，</w:t>
      </w:r>
      <w:r>
        <w:rPr>
          <w:rFonts w:hint="eastAsia" w:ascii="楷体" w:hAnsi="楷体" w:eastAsia="楷体" w:cs="楷体"/>
          <w:color w:val="000000"/>
          <w:sz w:val="36"/>
          <w:szCs w:val="36"/>
          <w:lang w:val="en-US" w:eastAsia="zh-CN"/>
        </w:rPr>
        <w:t>建立</w:t>
      </w:r>
      <w:r>
        <w:rPr>
          <w:rFonts w:hint="eastAsia" w:ascii="楷体" w:hAnsi="楷体" w:eastAsia="楷体" w:cs="楷体"/>
          <w:color w:val="000000"/>
          <w:sz w:val="36"/>
          <w:szCs w:val="36"/>
        </w:rPr>
        <w:t>疫情防控管理5本台账</w:t>
      </w:r>
      <w:r>
        <w:rPr>
          <w:rFonts w:hint="eastAsia" w:ascii="楷体" w:hAnsi="楷体" w:eastAsia="楷体" w:cs="楷体"/>
          <w:color w:val="000000"/>
          <w:sz w:val="36"/>
          <w:szCs w:val="36"/>
          <w:lang w:eastAsia="zh-CN"/>
        </w:rPr>
        <w:t>，</w:t>
      </w:r>
      <w:r>
        <w:rPr>
          <w:rFonts w:hint="eastAsia" w:ascii="楷体" w:hAnsi="楷体" w:eastAsia="楷体" w:cs="楷体"/>
          <w:color w:val="000000"/>
          <w:sz w:val="36"/>
          <w:szCs w:val="36"/>
          <w:lang w:val="en-US" w:eastAsia="zh-CN"/>
        </w:rPr>
        <w:t>对相关学生进行动态</w:t>
      </w:r>
      <w:r>
        <w:rPr>
          <w:rFonts w:hint="eastAsia" w:ascii="楷体" w:hAnsi="楷体" w:eastAsia="楷体" w:cs="楷体"/>
          <w:color w:val="000000"/>
          <w:sz w:val="36"/>
          <w:szCs w:val="36"/>
        </w:rPr>
        <w:t>分类跟踪管理。</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3月24-26日，</w:t>
      </w:r>
      <w:r>
        <w:rPr>
          <w:rFonts w:hint="eastAsia" w:ascii="楷体" w:hAnsi="楷体" w:eastAsia="楷体" w:cs="楷体"/>
          <w:color w:val="000000"/>
          <w:sz w:val="36"/>
          <w:szCs w:val="36"/>
          <w:lang w:eastAsia="zh-CN"/>
        </w:rPr>
        <w:t>完成</w:t>
      </w:r>
      <w:r>
        <w:rPr>
          <w:rFonts w:hint="eastAsia" w:ascii="楷体" w:hAnsi="楷体" w:eastAsia="楷体" w:cs="楷体"/>
          <w:color w:val="000000"/>
          <w:sz w:val="36"/>
          <w:szCs w:val="36"/>
        </w:rPr>
        <w:t>广州校区</w:t>
      </w:r>
      <w:r>
        <w:rPr>
          <w:rFonts w:hint="eastAsia" w:ascii="楷体" w:hAnsi="楷体" w:eastAsia="楷体" w:cs="楷体"/>
          <w:color w:val="000000"/>
          <w:sz w:val="36"/>
          <w:szCs w:val="36"/>
          <w:lang w:val="en-US" w:eastAsia="zh-CN"/>
        </w:rPr>
        <w:t>全体</w:t>
      </w:r>
      <w:r>
        <w:rPr>
          <w:rFonts w:hint="eastAsia" w:ascii="楷体" w:hAnsi="楷体" w:eastAsia="楷体" w:cs="楷体"/>
          <w:color w:val="000000"/>
          <w:sz w:val="36"/>
          <w:szCs w:val="36"/>
        </w:rPr>
        <w:t>在校</w:t>
      </w:r>
      <w:r>
        <w:rPr>
          <w:rFonts w:hint="eastAsia" w:ascii="楷体" w:hAnsi="楷体" w:eastAsia="楷体" w:cs="楷体"/>
          <w:color w:val="000000"/>
          <w:sz w:val="36"/>
          <w:szCs w:val="36"/>
          <w:lang w:eastAsia="zh-CN"/>
        </w:rPr>
        <w:t>师生</w:t>
      </w:r>
      <w:r>
        <w:rPr>
          <w:rFonts w:hint="eastAsia" w:ascii="楷体" w:hAnsi="楷体" w:eastAsia="楷体" w:cs="楷体"/>
          <w:color w:val="000000"/>
          <w:sz w:val="36"/>
          <w:szCs w:val="36"/>
        </w:rPr>
        <w:t>完成全员核酸检测。</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楷体" w:hAnsi="楷体" w:eastAsia="楷体" w:cs="楷体"/>
          <w:color w:val="000000"/>
          <w:sz w:val="36"/>
          <w:szCs w:val="36"/>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楷体" w:hAnsi="楷体" w:eastAsia="楷体" w:cs="楷体"/>
          <w:color w:val="000000"/>
          <w:sz w:val="36"/>
          <w:szCs w:val="36"/>
        </w:rPr>
      </w:pP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楷体" w:hAnsi="楷体" w:eastAsia="楷体" w:cs="楷体"/>
          <w:color w:val="000000"/>
          <w:sz w:val="36"/>
          <w:szCs w:val="36"/>
        </w:rPr>
      </w:pPr>
    </w:p>
    <w:p>
      <w:pPr>
        <w:keepNext w:val="0"/>
        <w:keepLines w:val="0"/>
        <w:pageBreakBefore w:val="0"/>
        <w:widowControl w:val="0"/>
        <w:kinsoku/>
        <w:wordWrap/>
        <w:overflowPunct/>
        <w:topLinePunct w:val="0"/>
        <w:autoSpaceDE/>
        <w:autoSpaceDN/>
        <w:bidi w:val="0"/>
        <w:adjustRightInd/>
        <w:snapToGrid w:val="0"/>
        <w:spacing w:before="0" w:after="0" w:line="360" w:lineRule="auto"/>
        <w:ind w:firstLineChars="200"/>
        <w:jc w:val="both"/>
        <w:textAlignment w:val="auto"/>
        <w:rPr>
          <w:rFonts w:hint="eastAsia" w:ascii="楷体" w:hAnsi="楷体" w:eastAsia="楷体" w:cs="楷体"/>
          <w:color w:val="000000"/>
          <w:sz w:val="36"/>
          <w:szCs w:val="36"/>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720" w:firstLineChars="200"/>
        <w:jc w:val="both"/>
        <w:textAlignment w:val="auto"/>
        <w:rPr>
          <w:rFonts w:hint="eastAsia" w:ascii="楷体" w:hAnsi="楷体" w:eastAsia="楷体" w:cs="楷体"/>
          <w:color w:val="000000"/>
          <w:sz w:val="36"/>
          <w:szCs w:val="36"/>
          <w:lang w:val="en-US" w:eastAsia="zh-CN"/>
        </w:rPr>
      </w:pPr>
      <w:r>
        <w:rPr>
          <w:rFonts w:hint="eastAsia" w:ascii="楷体" w:hAnsi="楷体" w:eastAsia="楷体" w:cs="楷体"/>
          <w:color w:val="000000"/>
          <w:sz w:val="36"/>
          <w:szCs w:val="36"/>
          <w:lang w:val="en-US" w:eastAsia="zh-CN"/>
        </w:rPr>
        <w:t>3月22日，召开2022年第4次党委会，会议第一议题学习了习近平总书记关于文化建设重要论述和传达广东财经大学2022年全面从严治党工作会议精神等5个议题，部署了学院2022年党建工作和要求。</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720" w:firstLineChars="200"/>
        <w:jc w:val="both"/>
        <w:textAlignment w:val="auto"/>
        <w:rPr>
          <w:rFonts w:hint="eastAsia" w:ascii="宋体" w:hAnsi="宋体" w:eastAsia="楷体"/>
          <w:color w:val="333333"/>
          <w:spacing w:val="0"/>
          <w:sz w:val="28"/>
          <w:szCs w:val="28"/>
          <w:shd w:val="clear" w:fill="FFFFFF"/>
          <w:lang w:eastAsia="zh-CN"/>
        </w:rPr>
      </w:pPr>
      <w:r>
        <w:rPr>
          <w:rFonts w:hint="eastAsia" w:ascii="楷体" w:hAnsi="楷体" w:eastAsia="楷体" w:cs="楷体"/>
          <w:color w:val="000000"/>
          <w:sz w:val="36"/>
          <w:szCs w:val="36"/>
        </w:rPr>
        <w:t>3月22日下午，公共管理学院召开党委理论中心组学习，围绕《习近平关于防范风险挑战、应对突发事件论述摘编》（以下简称《论述摘编》）《河南郑州“7.20”特大暴雨灾害调查报告》（以下简称《调查报告》）进行交流学习。会议学习了《论述摘编》及《调查报告》重要内容，特别是针对《调查报告》六方面的教训进行了重点学习，强调了安全防范意识不容6放松，必须强化政治意识与底线思维；要健全工作机制，提升工作能力；落实工作措施，切实做好安全</w:t>
      </w:r>
      <w:r>
        <w:rPr>
          <w:rFonts w:hint="eastAsia" w:ascii="楷体" w:hAnsi="楷体" w:eastAsia="楷体" w:cs="楷体"/>
          <w:color w:val="000000"/>
          <w:sz w:val="36"/>
          <w:szCs w:val="36"/>
          <w:lang w:eastAsia="zh-CN"/>
        </w:rPr>
        <w:t>防范工作。</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r>
        <w:rPr>
          <w:rFonts w:hint="eastAsia" w:ascii="仿宋_GB2312" w:hAnsi="仿宋_GB2312" w:eastAsia="仿宋_GB2312" w:cs="仿宋_GB2312"/>
          <w:color w:val="000000"/>
          <w:sz w:val="32"/>
          <w:szCs w:val="32"/>
        </w:rPr>
        <w:drawing>
          <wp:anchor distT="0" distB="0" distL="0" distR="0" simplePos="0" relativeHeight="251664384" behindDoc="1" locked="0" layoutInCell="1" allowOverlap="1">
            <wp:simplePos x="0" y="0"/>
            <wp:positionH relativeFrom="column">
              <wp:posOffset>154940</wp:posOffset>
            </wp:positionH>
            <wp:positionV relativeFrom="paragraph">
              <wp:posOffset>86360</wp:posOffset>
            </wp:positionV>
            <wp:extent cx="4810760" cy="2827655"/>
            <wp:effectExtent l="0" t="0" r="8890" b="10795"/>
            <wp:wrapTight wrapText="bothSides">
              <wp:wrapPolygon>
                <wp:start x="0" y="0"/>
                <wp:lineTo x="0" y="21391"/>
                <wp:lineTo x="21554" y="21391"/>
                <wp:lineTo x="2155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810760" cy="28276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宋体" w:hAnsi="宋体" w:eastAsia="楷体"/>
          <w:color w:val="333333"/>
          <w:spacing w:val="0"/>
          <w:sz w:val="28"/>
          <w:szCs w:val="28"/>
          <w:shd w:val="clear" w:fill="FFFFFF"/>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楷体" w:hAnsi="楷体" w:eastAsia="楷体" w:cs="楷体"/>
          <w:color w:val="000000"/>
          <w:sz w:val="36"/>
          <w:szCs w:val="36"/>
          <w:lang w:val="en-US" w:eastAsia="zh-CN"/>
        </w:rPr>
      </w:pPr>
      <w:r>
        <w:rPr>
          <w:rFonts w:hint="eastAsia" w:ascii="华文中宋" w:hAnsi="华文中宋" w:eastAsia="华文中宋" w:cs="华文中宋"/>
          <w:b/>
          <w:bCs/>
          <w:color w:val="000000"/>
          <w:sz w:val="40"/>
          <w:szCs w:val="40"/>
          <w:lang w:val="en-US" w:eastAsia="zh-CN"/>
        </w:rPr>
        <w:t xml:space="preserve">   </w:t>
      </w:r>
      <w:r>
        <w:rPr>
          <w:rFonts w:hint="eastAsia" w:ascii="楷体" w:hAnsi="楷体" w:eastAsia="楷体" w:cs="楷体"/>
          <w:color w:val="000000"/>
          <w:sz w:val="36"/>
          <w:szCs w:val="36"/>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720" w:firstLineChars="200"/>
        <w:jc w:val="both"/>
        <w:textAlignment w:val="auto"/>
        <w:rPr>
          <w:rFonts w:hint="default" w:ascii="楷体" w:hAnsi="楷体" w:eastAsia="楷体" w:cs="楷体"/>
          <w:color w:val="000000"/>
          <w:sz w:val="36"/>
          <w:szCs w:val="36"/>
          <w:lang w:val="en-US" w:eastAsia="zh-CN"/>
        </w:rPr>
      </w:pPr>
      <w:r>
        <w:rPr>
          <w:rFonts w:hint="eastAsia" w:ascii="楷体" w:hAnsi="楷体" w:eastAsia="楷体" w:cs="楷体"/>
          <w:color w:val="000000"/>
          <w:sz w:val="36"/>
          <w:szCs w:val="36"/>
          <w:lang w:val="en-US" w:eastAsia="zh-CN"/>
        </w:rPr>
        <w:t>3月11日-14日，部署落实推荐选举省教育工委隶属高校原代表会议代表工作，经各支部充分酝酿推选，由学院党委讨论决定向学校党委提交学院推荐候选人。</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before="0" w:after="0" w:line="360" w:lineRule="auto"/>
        <w:jc w:val="both"/>
        <w:textAlignment w:val="auto"/>
        <w:rPr>
          <w:rFonts w:hint="eastAsia" w:ascii="楷体" w:hAnsi="楷体" w:eastAsia="楷体" w:cs="楷体"/>
          <w:color w:val="000000"/>
          <w:sz w:val="36"/>
          <w:szCs w:val="36"/>
        </w:rPr>
      </w:pPr>
      <w:r>
        <w:rPr>
          <w:rFonts w:ascii="宋体" w:hAnsi="宋体" w:eastAsia="宋体"/>
          <w:color w:val="000000"/>
          <w:sz w:val="32"/>
          <w:szCs w:val="32"/>
        </w:rPr>
        <w:t xml:space="preserve">   </w:t>
      </w:r>
      <w:r>
        <w:rPr>
          <w:rFonts w:hint="eastAsia" w:ascii="仿宋_GB2312" w:hAnsi="仿宋_GB2312" w:eastAsia="仿宋_GB2312" w:cs="仿宋_GB2312"/>
          <w:color w:val="000000"/>
          <w:sz w:val="32"/>
          <w:szCs w:val="32"/>
        </w:rPr>
        <w:t xml:space="preserve"> </w:t>
      </w:r>
      <w:r>
        <w:rPr>
          <w:rFonts w:hint="eastAsia" w:ascii="楷体" w:hAnsi="楷体" w:eastAsia="楷体" w:cs="楷体"/>
          <w:color w:val="000000"/>
          <w:sz w:val="36"/>
          <w:szCs w:val="36"/>
        </w:rPr>
        <w:t>3月21日学院制定《关于加强2022届本科毕业论文质量管理工作方案》，加强对毕业论文质量控制和流程管理。</w:t>
      </w:r>
    </w:p>
    <w:p>
      <w:pPr>
        <w:keepNext w:val="0"/>
        <w:keepLines w:val="0"/>
        <w:pageBreakBefore w:val="0"/>
        <w:widowControl w:val="0"/>
        <w:kinsoku/>
        <w:wordWrap/>
        <w:overflowPunct/>
        <w:topLinePunct w:val="0"/>
        <w:autoSpaceDE/>
        <w:autoSpaceDN/>
        <w:bidi w:val="0"/>
        <w:adjustRightInd/>
        <w:snapToGrid w:val="0"/>
        <w:spacing w:before="0" w:after="0" w:line="360" w:lineRule="auto"/>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 xml:space="preserve">    各系开展毕业论文自查、抽查，试卷核查、课程思政研讨等教学活动。</w:t>
      </w:r>
    </w:p>
    <w:p>
      <w:pPr>
        <w:snapToGrid w:val="0"/>
        <w:spacing w:before="0" w:after="0" w:line="240" w:lineRule="auto"/>
        <w:jc w:val="both"/>
        <w:rPr>
          <w:rFonts w:ascii="宋体" w:hAnsi="宋体" w:eastAsia="宋体"/>
          <w:color w:val="000000"/>
          <w:sz w:val="32"/>
          <w:szCs w:val="32"/>
        </w:rPr>
      </w:pPr>
      <w:r>
        <w:rPr>
          <w:rFonts w:ascii="宋体" w:hAnsi="宋体" w:eastAsia="宋体"/>
          <w:color w:val="000000"/>
          <w:sz w:val="32"/>
          <w:szCs w:val="32"/>
        </w:rPr>
        <w:drawing>
          <wp:anchor distT="0" distB="0" distL="0" distR="0" simplePos="0" relativeHeight="251660288" behindDoc="1" locked="0" layoutInCell="1" allowOverlap="1">
            <wp:simplePos x="0" y="0"/>
            <wp:positionH relativeFrom="column">
              <wp:posOffset>110490</wp:posOffset>
            </wp:positionH>
            <wp:positionV relativeFrom="paragraph">
              <wp:posOffset>0</wp:posOffset>
            </wp:positionV>
            <wp:extent cx="2362200" cy="1771650"/>
            <wp:effectExtent l="0" t="0" r="0" b="0"/>
            <wp:wrapTight wrapText="bothSides">
              <wp:wrapPolygon>
                <wp:start x="0" y="0"/>
                <wp:lineTo x="0" y="21368"/>
                <wp:lineTo x="21426" y="21368"/>
                <wp:lineTo x="21426" y="0"/>
                <wp:lineTo x="0" y="0"/>
              </wp:wrapPolygon>
            </wp:wrapTight>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a:stretch>
                      <a:fillRect/>
                    </a:stretch>
                  </pic:blipFill>
                  <pic:spPr>
                    <a:xfrm>
                      <a:off x="0" y="0"/>
                      <a:ext cx="2362200" cy="1771650"/>
                    </a:xfrm>
                    <a:prstGeom prst="rect">
                      <a:avLst/>
                    </a:prstGeom>
                  </pic:spPr>
                </pic:pic>
              </a:graphicData>
            </a:graphic>
          </wp:anchor>
        </w:drawing>
      </w:r>
      <w:r>
        <w:rPr>
          <w:rFonts w:ascii="宋体" w:hAnsi="宋体" w:eastAsia="宋体"/>
          <w:color w:val="000000"/>
          <w:sz w:val="32"/>
          <w:szCs w:val="32"/>
        </w:rPr>
        <w:drawing>
          <wp:anchor distT="0" distB="0" distL="0" distR="0" simplePos="0" relativeHeight="251661312" behindDoc="1" locked="0" layoutInCell="1" allowOverlap="1">
            <wp:simplePos x="0" y="0"/>
            <wp:positionH relativeFrom="column">
              <wp:posOffset>2575560</wp:posOffset>
            </wp:positionH>
            <wp:positionV relativeFrom="paragraph">
              <wp:posOffset>17780</wp:posOffset>
            </wp:positionV>
            <wp:extent cx="2362200" cy="1771650"/>
            <wp:effectExtent l="0" t="0" r="0" b="0"/>
            <wp:wrapTight wrapText="bothSides">
              <wp:wrapPolygon>
                <wp:start x="0" y="0"/>
                <wp:lineTo x="0" y="21368"/>
                <wp:lineTo x="21426" y="21368"/>
                <wp:lineTo x="21426" y="0"/>
                <wp:lineTo x="0" y="0"/>
              </wp:wrapPolygon>
            </wp:wrapTight>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a:stretch>
                      <a:fillRect/>
                    </a:stretch>
                  </pic:blipFill>
                  <pic:spPr>
                    <a:xfrm>
                      <a:off x="0" y="0"/>
                      <a:ext cx="2362200" cy="1771650"/>
                    </a:xfrm>
                    <a:prstGeom prst="rect">
                      <a:avLst/>
                    </a:prstGeom>
                  </pic:spPr>
                </pic:pic>
              </a:graphicData>
            </a:graphic>
          </wp:anchor>
        </w:drawing>
      </w:r>
      <w:r>
        <w:rPr>
          <w:rFonts w:ascii="宋体" w:hAnsi="宋体" w:eastAsia="宋体"/>
          <w:color w:val="000000"/>
          <w:sz w:val="32"/>
          <w:szCs w:val="32"/>
        </w:rPr>
        <w:t xml:space="preserve">  </w:t>
      </w:r>
    </w:p>
    <w:p>
      <w:pPr>
        <w:snapToGrid w:val="0"/>
        <w:spacing w:before="0" w:after="0" w:line="240" w:lineRule="auto"/>
        <w:jc w:val="both"/>
        <w:rPr>
          <w:rFonts w:ascii="宋体" w:hAnsi="宋体" w:eastAsia="宋体"/>
          <w:color w:val="000000"/>
          <w:sz w:val="32"/>
          <w:szCs w:val="32"/>
        </w:rPr>
      </w:pPr>
      <w:r>
        <w:rPr>
          <w:rFonts w:ascii="宋体" w:hAnsi="宋体" w:eastAsia="宋体"/>
          <w:color w:val="000000"/>
          <w:sz w:val="32"/>
          <w:szCs w:val="32"/>
        </w:rPr>
        <w:t xml:space="preserve">     </w:t>
      </w:r>
    </w:p>
    <w:p>
      <w:pPr>
        <w:snapToGrid w:val="0"/>
        <w:spacing w:before="0" w:after="0" w:line="240" w:lineRule="auto"/>
        <w:jc w:val="both"/>
        <w:rPr>
          <w:rFonts w:ascii="宋体" w:hAnsi="宋体" w:eastAsia="宋体"/>
          <w:color w:val="000000"/>
          <w:sz w:val="32"/>
          <w:szCs w:val="32"/>
        </w:rPr>
      </w:pP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240" w:lineRule="auto"/>
        <w:jc w:val="both"/>
        <w:textAlignment w:val="auto"/>
        <w:rPr>
          <w:rFonts w:ascii="宋体" w:hAnsi="宋体" w:eastAsia="宋体"/>
          <w:b/>
          <w:bCs/>
          <w:color w:val="000000"/>
          <w:sz w:val="32"/>
          <w:szCs w:val="32"/>
        </w:rPr>
      </w:pP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240" w:lineRule="auto"/>
        <w:jc w:val="both"/>
        <w:textAlignment w:val="auto"/>
        <w:rPr>
          <w:rFonts w:ascii="宋体" w:hAnsi="宋体" w:eastAsia="宋体"/>
          <w:b/>
          <w:bCs/>
          <w:color w:val="000000"/>
          <w:sz w:val="32"/>
          <w:szCs w:val="32"/>
        </w:rPr>
      </w:pPr>
      <w:r>
        <w:rPr>
          <w:rFonts w:ascii="宋体" w:hAnsi="宋体" w:eastAsia="宋体"/>
          <w:color w:val="000000"/>
          <w:sz w:val="32"/>
          <w:szCs w:val="32"/>
        </w:rPr>
        <w:drawing>
          <wp:anchor distT="0" distB="0" distL="0" distR="0" simplePos="0" relativeHeight="251663360" behindDoc="1" locked="0" layoutInCell="1" allowOverlap="1">
            <wp:simplePos x="0" y="0"/>
            <wp:positionH relativeFrom="column">
              <wp:posOffset>107315</wp:posOffset>
            </wp:positionH>
            <wp:positionV relativeFrom="paragraph">
              <wp:posOffset>407670</wp:posOffset>
            </wp:positionV>
            <wp:extent cx="2361565" cy="1771015"/>
            <wp:effectExtent l="0" t="0" r="38735" b="635"/>
            <wp:wrapTight wrapText="bothSides">
              <wp:wrapPolygon>
                <wp:start x="0" y="0"/>
                <wp:lineTo x="0" y="21375"/>
                <wp:lineTo x="21432" y="21375"/>
                <wp:lineTo x="21432" y="0"/>
                <wp:lineTo x="0" y="0"/>
              </wp:wrapPolygon>
            </wp:wrapTight>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stretch>
                      <a:fillRect/>
                    </a:stretch>
                  </pic:blipFill>
                  <pic:spPr>
                    <a:xfrm>
                      <a:off x="0" y="0"/>
                      <a:ext cx="2361565" cy="1771015"/>
                    </a:xfrm>
                    <a:prstGeom prst="rect">
                      <a:avLst/>
                    </a:prstGeom>
                  </pic:spPr>
                </pic:pic>
              </a:graphicData>
            </a:graphic>
          </wp:anchor>
        </w:drawing>
      </w:r>
      <w:r>
        <w:rPr>
          <w:rFonts w:ascii="宋体" w:hAnsi="宋体" w:eastAsia="宋体"/>
          <w:color w:val="000000"/>
          <w:sz w:val="32"/>
          <w:szCs w:val="32"/>
        </w:rPr>
        <w:drawing>
          <wp:anchor distT="0" distB="0" distL="0" distR="0" simplePos="0" relativeHeight="251662336" behindDoc="1" locked="0" layoutInCell="1" allowOverlap="1">
            <wp:simplePos x="0" y="0"/>
            <wp:positionH relativeFrom="column">
              <wp:posOffset>-2349500</wp:posOffset>
            </wp:positionH>
            <wp:positionV relativeFrom="paragraph">
              <wp:posOffset>382905</wp:posOffset>
            </wp:positionV>
            <wp:extent cx="2361565" cy="1771015"/>
            <wp:effectExtent l="0" t="0" r="38735" b="635"/>
            <wp:wrapTight wrapText="bothSides">
              <wp:wrapPolygon>
                <wp:start x="0" y="0"/>
                <wp:lineTo x="0" y="21375"/>
                <wp:lineTo x="21432" y="21375"/>
                <wp:lineTo x="21432" y="0"/>
                <wp:lineTo x="0" y="0"/>
              </wp:wrapPolygon>
            </wp:wrapTight>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stretch>
                      <a:fillRect/>
                    </a:stretch>
                  </pic:blipFill>
                  <pic:spPr>
                    <a:xfrm>
                      <a:off x="0" y="0"/>
                      <a:ext cx="2361565" cy="17710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240" w:lineRule="auto"/>
        <w:jc w:val="both"/>
        <w:textAlignment w:val="auto"/>
        <w:rPr>
          <w:rFonts w:ascii="宋体" w:hAnsi="宋体" w:eastAsia="宋体"/>
          <w:b/>
          <w:bCs/>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90" w:leftChars="0" w:firstLine="720" w:firstLineChars="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3月</w:t>
      </w:r>
      <w:r>
        <w:rPr>
          <w:rFonts w:hint="eastAsia" w:ascii="楷体" w:hAnsi="楷体" w:eastAsia="楷体" w:cs="楷体"/>
          <w:color w:val="000000"/>
          <w:sz w:val="36"/>
          <w:szCs w:val="36"/>
          <w:lang w:val="en-US" w:eastAsia="zh-CN"/>
        </w:rPr>
        <w:t>1</w:t>
      </w:r>
      <w:r>
        <w:rPr>
          <w:rFonts w:hint="eastAsia" w:ascii="楷体" w:hAnsi="楷体" w:eastAsia="楷体" w:cs="楷体"/>
          <w:color w:val="000000"/>
          <w:sz w:val="36"/>
          <w:szCs w:val="36"/>
        </w:rPr>
        <w:t>2日，召开征兵工作</w:t>
      </w:r>
      <w:r>
        <w:rPr>
          <w:rFonts w:hint="eastAsia" w:ascii="楷体" w:hAnsi="楷体" w:eastAsia="楷体" w:cs="楷体"/>
          <w:color w:val="000000"/>
          <w:sz w:val="36"/>
          <w:szCs w:val="36"/>
          <w:lang w:eastAsia="zh-CN"/>
        </w:rPr>
        <w:t>动员会，学院党委副书记李天德介绍上级政策和</w:t>
      </w:r>
      <w:r>
        <w:rPr>
          <w:rFonts w:hint="eastAsia" w:ascii="楷体" w:hAnsi="楷体" w:eastAsia="楷体" w:cs="楷体"/>
          <w:color w:val="000000"/>
          <w:sz w:val="36"/>
          <w:szCs w:val="36"/>
        </w:rPr>
        <w:t>要求</w:t>
      </w:r>
      <w:r>
        <w:rPr>
          <w:rFonts w:hint="eastAsia" w:ascii="楷体" w:hAnsi="楷体" w:eastAsia="楷体" w:cs="楷体"/>
          <w:color w:val="000000"/>
          <w:sz w:val="36"/>
          <w:szCs w:val="36"/>
          <w:lang w:eastAsia="zh-CN"/>
        </w:rPr>
        <w:t>并动员学生积极参加，要求做好保障和服务工作</w:t>
      </w:r>
      <w:r>
        <w:rPr>
          <w:rFonts w:hint="eastAsia" w:ascii="楷体" w:hAnsi="楷体" w:eastAsia="楷体" w:cs="楷体"/>
          <w:color w:val="000000"/>
          <w:sz w:val="36"/>
          <w:szCs w:val="36"/>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90" w:leftChars="0" w:firstLine="720" w:firstLineChars="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lang w:val="en-US" w:eastAsia="zh-CN"/>
        </w:rPr>
        <w:t>3月16日，开展</w:t>
      </w:r>
      <w:r>
        <w:rPr>
          <w:rFonts w:hint="eastAsia" w:ascii="楷体" w:hAnsi="楷体" w:eastAsia="楷体" w:cs="楷体"/>
          <w:color w:val="000000"/>
          <w:sz w:val="36"/>
          <w:szCs w:val="36"/>
        </w:rPr>
        <w:t>寒假劳动教育活动</w:t>
      </w:r>
      <w:r>
        <w:rPr>
          <w:rFonts w:hint="eastAsia" w:ascii="楷体" w:hAnsi="楷体" w:eastAsia="楷体" w:cs="楷体"/>
          <w:color w:val="000000"/>
          <w:sz w:val="36"/>
          <w:szCs w:val="36"/>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90" w:leftChars="0" w:firstLine="720" w:firstLineChars="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lang w:eastAsia="zh-CN"/>
        </w:rPr>
        <w:t>截止</w:t>
      </w:r>
      <w:r>
        <w:rPr>
          <w:rFonts w:hint="eastAsia" w:ascii="楷体" w:hAnsi="楷体" w:eastAsia="楷体" w:cs="楷体"/>
          <w:color w:val="000000"/>
          <w:sz w:val="36"/>
          <w:szCs w:val="36"/>
          <w:lang w:val="en-US" w:eastAsia="zh-CN"/>
        </w:rPr>
        <w:t>3月25日，2022本科生就业人数348人，落实就业去向人数31人，落实率为8.91%；研究生非定向生就业人数32人，落实5人，落实率为15.63%，定向生就业人数68人，已落实58人，落实率为85.29%。</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90" w:leftChars="0" w:firstLine="720" w:firstLineChars="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lang w:val="en-US" w:eastAsia="zh-CN"/>
        </w:rPr>
        <w:t>3月25日，开展</w:t>
      </w:r>
      <w:r>
        <w:rPr>
          <w:rFonts w:hint="eastAsia" w:ascii="楷体" w:hAnsi="楷体" w:eastAsia="楷体" w:cs="楷体"/>
          <w:color w:val="000000"/>
          <w:sz w:val="36"/>
          <w:szCs w:val="36"/>
        </w:rPr>
        <w:t>“雷锋月”主题团课</w:t>
      </w:r>
      <w:r>
        <w:rPr>
          <w:rFonts w:hint="eastAsia" w:ascii="楷体" w:hAnsi="楷体" w:eastAsia="楷体" w:cs="楷体"/>
          <w:color w:val="000000"/>
          <w:sz w:val="36"/>
          <w:szCs w:val="36"/>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drawing>
          <wp:inline distT="0" distB="0" distL="114300" distR="114300">
            <wp:extent cx="2120265" cy="1911985"/>
            <wp:effectExtent l="0" t="0" r="1333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2120265" cy="1911985"/>
                    </a:xfrm>
                    <a:prstGeom prst="rect">
                      <a:avLst/>
                    </a:prstGeom>
                    <a:noFill/>
                    <a:ln>
                      <a:noFill/>
                    </a:ln>
                  </pic:spPr>
                </pic:pic>
              </a:graphicData>
            </a:graphic>
          </wp:inline>
        </w:drawing>
      </w:r>
      <w:r>
        <w:drawing>
          <wp:inline distT="0" distB="0" distL="114300" distR="114300">
            <wp:extent cx="2508885" cy="1854200"/>
            <wp:effectExtent l="0" t="0" r="571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508885" cy="1854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right="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3月1日，召开学院党政联席会议，讨论研究并通过了与广州市城市管理和综合执法局合作的合同。关于承办本次会议，对学院育人机制、学院的影响力、推动城市管家的建设都是一个很好的契机，要求各分管领导提高政治站位，以高度负责的态度做好各项前期准备工作，制订详细的工作计划，齐心协力，高质量地共同完成本次联盟会议的召开。</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default" w:ascii="华文中宋" w:hAnsi="华文中宋" w:eastAsia="华文中宋" w:cs="华文中宋"/>
          <w:b/>
          <w:bCs/>
          <w:color w:val="000000"/>
          <w:sz w:val="40"/>
          <w:szCs w:val="40"/>
          <w:lang w:val="en-US" w:eastAsia="zh-CN"/>
        </w:rPr>
      </w:pPr>
      <w:r>
        <w:rPr>
          <w:rFonts w:hint="eastAsia" w:ascii="华文中宋" w:hAnsi="华文中宋" w:eastAsia="华文中宋" w:cs="华文中宋"/>
          <w:b/>
          <w:bCs/>
          <w:color w:val="000000"/>
          <w:sz w:val="40"/>
          <w:szCs w:val="40"/>
          <w:lang w:val="en-US" w:eastAsia="zh-CN"/>
        </w:rPr>
        <w:t xml:space="preserve">    </w:t>
      </w:r>
      <w:r>
        <w:rPr>
          <w:rFonts w:hint="eastAsia" w:ascii="楷体" w:hAnsi="楷体" w:eastAsia="楷体" w:cs="楷体"/>
          <w:color w:val="000000"/>
          <w:sz w:val="36"/>
          <w:szCs w:val="36"/>
          <w:lang w:val="en-US" w:eastAsia="zh-CN"/>
        </w:rPr>
        <w:t>3月22日，开展“三八”妇女节趣味运动活动，学院领导班子组织部分女教职工开展了趣味跳绳和计时踢毽子活动，获校工会优秀奖。</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研究生工作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2022年3月12日，我院统一集中组织MPA研究生毕业论文预答辩工作。本次预答辩组织了6支答辩组老师，对2019级非全日制MPA研究生和2020级全日制MPA研究生开展毕业论文预答辩工作，最后共有77名MPA研究生通过本次毕业论文预答辩。</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2022年3月12日前，完成我院MPA学位授权点2021年度评审报告撰写工作并将年度评审报告提交给学校研究生处挂网上进行公示。</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2022年3月14日，为了做好本学期疫情防控常态化的研究生教学工作，推动研究生课堂教学改革及模式创新，组织我院MPA课程教师参加校研究生统一组织的开展2022年超星线上教学平台试用和培训。</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2022年3月17日，动员、组织我院MPA导师、课程教师以及学生积极参加线上《研究生国际科研能力提升专题讨论会。</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2022年3月20日上午，公共管理学院在第一教学楼开展2022级（MPA）研究生招生复试工作，校长于海峰、纪检监察室主任江晓铃、招生考试处处长李伟军等领导到复试现场进行巡视指导。为确保做好2022级（MPA）研究生招生复试工作，确保疫情下复试工作安全、公平、公正、公开，本次复试工作采取网络远程复试的形式。通过精心组织、周密布署、多次演练，经过8个复试小组的考官和秘书的不懈努力，顺利完成了110名研究生的复试工作。</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202年3月24日，按照学校研究生院下发通知要求，完成我院MPA学位授权点基本信息纸质表填写工作并将MPA学位授权点基本信息录入学位信息管理系统。</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2022年3月25日前，组织2个MPA研究生团队报名参加全国公共管理专业硕士研究生教育指导委员会举办的研究生案列大赛，并完成案列文本撰写并在全国公共管理专业硕士研究生案列大赛系统成功提交参赛案例。</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color w:val="000000"/>
          <w:sz w:val="36"/>
          <w:szCs w:val="36"/>
        </w:rPr>
        <w:t>2022年3月28日，根据佛山市本地疫情最新防空政策要求，依据《关于佛山校区启动线上教学的通知》，积极统计我院三水校区MPA课程及其任课教师情况，掌握我院三水校区MPA研究生上课人数，并全面启动将我院三水校区MPA研究生上课形式改为完全线上教学方式。</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ascii="等线" w:hAnsi="等线" w:eastAsia="等线"/>
          <w:color w:val="000000"/>
          <w:sz w:val="28"/>
          <w:szCs w:val="28"/>
        </w:rPr>
      </w:pPr>
      <w:r>
        <w:rPr>
          <w:rFonts w:hint="eastAsia" w:ascii="楷体" w:hAnsi="楷体" w:eastAsia="楷体" w:cs="楷体"/>
          <w:color w:val="000000"/>
          <w:sz w:val="36"/>
          <w:szCs w:val="36"/>
        </w:rPr>
        <w:t>2022年3月30日前，按照学校研究生期末考试试卷管理规定和要求，组织完成2021-2022学年第一学期期末考试试卷复查和归档工作。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学科与科研工作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b w:val="0"/>
          <w:bCs w:val="0"/>
          <w:color w:val="000000"/>
          <w:sz w:val="36"/>
          <w:szCs w:val="36"/>
        </w:rPr>
      </w:pPr>
      <w:r>
        <w:rPr>
          <w:rFonts w:hint="eastAsia" w:ascii="楷体" w:hAnsi="楷体" w:eastAsia="楷体" w:cs="楷体"/>
          <w:b w:val="0"/>
          <w:bCs w:val="0"/>
          <w:color w:val="000000"/>
          <w:sz w:val="36"/>
          <w:szCs w:val="36"/>
        </w:rPr>
        <w:t>2022年3月中旬，根据学校研究生院和发展规划处要求，结合郑贤操书记的批示精神、建设粤港澳大湾区一流财经大学的发展战略目标以及学校“十四五”发展规划和督办工作通知单（粤财大〔2022〕5号）要求，对照《关于支持佛山新时代加快高质量发展建设制造业创新高地的意见》（粤发[2021]25号）中的具体内容，根据我们公共管理学院学科专业特点和教师队伍研究情况，起草了一份《公共管理学院关于贯彻落实《郑贤操书记对&lt;关于支持佛山新时代加快高质量发展建设制造业创新高地的意见（粤发[2021]25号）&gt;的批示精神》的意见》。</w:t>
      </w: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0" w:leftChars="0" w:right="0" w:rightChars="0" w:firstLine="720" w:firstLineChars="200"/>
        <w:jc w:val="both"/>
        <w:textAlignment w:val="auto"/>
        <w:rPr>
          <w:rFonts w:hint="eastAsia" w:ascii="楷体" w:hAnsi="楷体" w:eastAsia="楷体" w:cs="楷体"/>
          <w:color w:val="000000"/>
          <w:sz w:val="36"/>
          <w:szCs w:val="36"/>
        </w:rPr>
      </w:pPr>
      <w:r>
        <w:rPr>
          <w:rFonts w:hint="eastAsia" w:ascii="楷体" w:hAnsi="楷体" w:eastAsia="楷体" w:cs="楷体"/>
          <w:b w:val="0"/>
          <w:bCs w:val="0"/>
          <w:color w:val="000000"/>
          <w:sz w:val="36"/>
          <w:szCs w:val="36"/>
        </w:rPr>
        <w:t>2022年3月28日前，根据研究生要求，完成撰写《公共管理校级重点学科结项验收报告》和《2021年公共管理学科建设工作总结》。</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黑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79190"/>
    <w:multiLevelType w:val="singleLevel"/>
    <w:tmpl w:val="F7179190"/>
    <w:lvl w:ilvl="0" w:tentative="0">
      <w:start w:val="1"/>
      <w:numFmt w:val="bullet"/>
      <w:lvlText w:val=""/>
      <w:lvlJc w:val="left"/>
      <w:pPr>
        <w:ind w:left="420" w:hanging="420"/>
      </w:pPr>
      <w:rPr>
        <w:rFonts w:hint="default" w:ascii="Wingdings" w:hAnsi="Wingdings"/>
      </w:rPr>
    </w:lvl>
  </w:abstractNum>
  <w:abstractNum w:abstractNumId="1">
    <w:nsid w:val="FB854C3D"/>
    <w:multiLevelType w:val="singleLevel"/>
    <w:tmpl w:val="FB854C3D"/>
    <w:lvl w:ilvl="0" w:tentative="0">
      <w:start w:val="1"/>
      <w:numFmt w:val="bullet"/>
      <w:lvlText w:val=""/>
      <w:lvlJc w:val="left"/>
      <w:pPr>
        <w:ind w:left="330" w:hanging="420"/>
      </w:pPr>
      <w:rPr>
        <w:rFonts w:hint="default" w:ascii="Wingdings" w:hAnsi="Wingdings"/>
      </w:rPr>
    </w:lvl>
  </w:abstractNum>
  <w:abstractNum w:abstractNumId="2">
    <w:nsid w:val="0E2284ED"/>
    <w:multiLevelType w:val="singleLevel"/>
    <w:tmpl w:val="0E2284ED"/>
    <w:lvl w:ilvl="0" w:tentative="0">
      <w:start w:val="1"/>
      <w:numFmt w:val="bullet"/>
      <w:lvlText w:val=""/>
      <w:lvlJc w:val="left"/>
      <w:pPr>
        <w:ind w:left="420" w:hanging="420"/>
      </w:pPr>
      <w:rPr>
        <w:rFonts w:hint="default" w:ascii="Wingdings" w:hAnsi="Wingdings"/>
      </w:rPr>
    </w:lvl>
  </w:abstractNum>
  <w:abstractNum w:abstractNumId="3">
    <w:nsid w:val="67C64564"/>
    <w:multiLevelType w:val="singleLevel"/>
    <w:tmpl w:val="67C64564"/>
    <w:lvl w:ilvl="0" w:tentative="0">
      <w:start w:val="1"/>
      <w:numFmt w:val="bullet"/>
      <w:lvlText w:val=""/>
      <w:lvlJc w:val="left"/>
      <w:pPr>
        <w:ind w:left="420" w:hanging="420"/>
      </w:pPr>
      <w:rPr>
        <w:rFonts w:hint="default" w:ascii="Wingdings" w:hAnsi="Wingding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67C2E7B"/>
    <w:rsid w:val="083D07F0"/>
    <w:rsid w:val="0B131E24"/>
    <w:rsid w:val="0CAB4367"/>
    <w:rsid w:val="105E3B74"/>
    <w:rsid w:val="137F2687"/>
    <w:rsid w:val="1A0B56F1"/>
    <w:rsid w:val="1C2C4424"/>
    <w:rsid w:val="1CD54CE6"/>
    <w:rsid w:val="1DEC38DC"/>
    <w:rsid w:val="2D70280A"/>
    <w:rsid w:val="2E306D54"/>
    <w:rsid w:val="30456175"/>
    <w:rsid w:val="36772279"/>
    <w:rsid w:val="3C6938E0"/>
    <w:rsid w:val="3EEA310C"/>
    <w:rsid w:val="402368FC"/>
    <w:rsid w:val="434067C1"/>
    <w:rsid w:val="4D293BC9"/>
    <w:rsid w:val="56473C2A"/>
    <w:rsid w:val="568D20C3"/>
    <w:rsid w:val="5B871050"/>
    <w:rsid w:val="5F8530BD"/>
    <w:rsid w:val="60215E97"/>
    <w:rsid w:val="632153FC"/>
    <w:rsid w:val="6AD3740D"/>
    <w:rsid w:val="6EAF13B0"/>
    <w:rsid w:val="71061E72"/>
    <w:rsid w:val="7A3B2499"/>
    <w:rsid w:val="DF5F6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semiHidden/>
    <w:qFormat/>
    <w:uiPriority w:val="99"/>
    <w:rPr>
      <w:sz w:val="18"/>
      <w:szCs w:val="18"/>
    </w:rPr>
  </w:style>
  <w:style w:type="character" w:customStyle="1" w:styleId="8">
    <w:name w:val="页脚 字符"/>
    <w:basedOn w:val="6"/>
    <w:link w:val="2"/>
    <w:semiHidden/>
    <w:qFormat/>
    <w:uiPriority w:val="99"/>
    <w:rPr>
      <w:sz w:val="18"/>
      <w:szCs w:val="18"/>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2612</Words>
  <Characters>2834</Characters>
  <Lines>1</Lines>
  <Paragraphs>1</Paragraphs>
  <TotalTime>0</TotalTime>
  <ScaleCrop>false</ScaleCrop>
  <LinksUpToDate>false</LinksUpToDate>
  <CharactersWithSpaces>2875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2017-01-10T17:10:00Z</dcterms:created>
  <dc:creator>Tencent</dc:creator>
  <cp:lastModifiedBy>曾华强(19951522)</cp:lastModifiedBy>
  <dcterms:modified xsi:type="dcterms:W3CDTF">2022-04-01T02:59:12Z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0E0E373EB61446499AF422B4BFEE5C30</vt:lpwstr>
  </property>
</Properties>
</file>