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page" w:horzAnchor="page" w:tblpXSpec="center" w:tblpY="1083"/>
        <w:tblOverlap w:val="never"/>
        <w:tblW w:w="86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60"/>
        <w:gridCol w:w="41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8620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24"/>
                <w:szCs w:val="24"/>
                <w:vertAlign w:val="baseline"/>
                <w:lang w:eastAsia="zh-CN"/>
              </w:rPr>
              <w:t>内部文件</w:t>
            </w:r>
            <w:r>
              <w:rPr>
                <w:rFonts w:hint="eastAsia" w:ascii="方正小标宋简体" w:hAnsi="方正小标宋简体" w:eastAsia="方正小标宋简体" w:cs="方正小标宋简体"/>
                <w:sz w:val="24"/>
                <w:szCs w:val="24"/>
                <w:vertAlign w:val="baseline"/>
                <w:lang w:val="en-US" w:eastAsia="zh-CN"/>
              </w:rPr>
              <w:t xml:space="preserve"> 请勿外传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  <w:jc w:val="center"/>
        </w:trPr>
        <w:tc>
          <w:tcPr>
            <w:tcW w:w="8620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eastAsia="黑体" w:cs="黑体" w:asciiTheme="majorAscii" w:hAnsiTheme="majorAscii"/>
                <w:b/>
                <w:bCs/>
                <w:color w:val="FF0000"/>
                <w:sz w:val="52"/>
                <w:szCs w:val="52"/>
                <w:vertAlign w:val="baseline"/>
                <w:lang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FF0000"/>
                <w:sz w:val="52"/>
                <w:szCs w:val="52"/>
                <w:vertAlign w:val="baseline"/>
                <w:lang w:eastAsia="zh-CN"/>
              </w:rPr>
              <w:t>公共管理学院信息简报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  <w:jc w:val="center"/>
        </w:trPr>
        <w:tc>
          <w:tcPr>
            <w:tcW w:w="862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313" w:beforeLines="100" w:after="0" w:line="15" w:lineRule="atLeast"/>
              <w:ind w:right="0"/>
              <w:jc w:val="center"/>
              <w:textAlignment w:val="auto"/>
              <w:rPr>
                <w:vertAlign w:val="baseli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spacing w:val="0"/>
                <w:sz w:val="36"/>
                <w:szCs w:val="36"/>
                <w:lang w:eastAsia="zh-CN"/>
              </w:rPr>
              <w:t>2022年第</w:t>
            </w: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spacing w:val="0"/>
                <w:sz w:val="36"/>
                <w:szCs w:val="36"/>
                <w:lang w:val="en-US" w:eastAsia="zh-CN"/>
              </w:rPr>
              <w:t xml:space="preserve"> 15 </w:t>
            </w: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spacing w:val="0"/>
                <w:sz w:val="36"/>
                <w:szCs w:val="36"/>
                <w:lang w:eastAsia="zh-CN"/>
              </w:rPr>
              <w:t>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4460" w:type="dxa"/>
            <w:tcBorders>
              <w:tl2br w:val="nil"/>
              <w:tr2bl w:val="nil"/>
            </w:tcBorders>
            <w:vAlign w:val="top"/>
          </w:tcPr>
          <w:p>
            <w:pPr>
              <w:ind w:firstLine="321" w:firstLineChars="100"/>
              <w:rPr>
                <w:vertAlign w:val="baseli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spacing w:val="0"/>
                <w:sz w:val="32"/>
                <w:szCs w:val="32"/>
                <w:lang w:eastAsia="zh-CN"/>
              </w:rPr>
              <w:t>学院办公室</w:t>
            </w:r>
          </w:p>
        </w:tc>
        <w:tc>
          <w:tcPr>
            <w:tcW w:w="4160" w:type="dxa"/>
            <w:tcBorders>
              <w:tl2br w:val="nil"/>
              <w:tr2bl w:val="nil"/>
            </w:tcBorders>
            <w:vAlign w:val="top"/>
          </w:tcPr>
          <w:p>
            <w:pPr>
              <w:ind w:firstLine="964" w:firstLineChars="300"/>
              <w:rPr>
                <w:vertAlign w:val="baseli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spacing w:val="0"/>
                <w:sz w:val="32"/>
                <w:szCs w:val="32"/>
                <w:lang w:val="en-US" w:eastAsia="zh-CN"/>
              </w:rPr>
              <w:t xml:space="preserve">2022年 7 </w:t>
            </w: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spacing w:val="0"/>
                <w:sz w:val="32"/>
                <w:szCs w:val="32"/>
                <w:lang w:eastAsia="zh-CN"/>
              </w:rPr>
              <w:t>月</w:t>
            </w: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spacing w:val="0"/>
                <w:sz w:val="32"/>
                <w:szCs w:val="32"/>
                <w:lang w:val="en-US" w:eastAsia="zh-CN"/>
              </w:rPr>
              <w:t xml:space="preserve"> 8 </w:t>
            </w: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spacing w:val="0"/>
                <w:sz w:val="32"/>
                <w:szCs w:val="32"/>
                <w:lang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8620" w:type="dxa"/>
            <w:gridSpan w:val="2"/>
            <w:tcBorders>
              <w:tl2br w:val="nil"/>
              <w:tr2bl w:val="nil"/>
            </w:tcBorders>
            <w:vAlign w:val="top"/>
          </w:tcPr>
          <w:p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23495</wp:posOffset>
                      </wp:positionV>
                      <wp:extent cx="5457825" cy="28575"/>
                      <wp:effectExtent l="0" t="34925" r="9525" b="50800"/>
                      <wp:wrapNone/>
                      <wp:docPr id="1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308735" y="2296795"/>
                                <a:ext cx="5457825" cy="28575"/>
                              </a:xfrm>
                              <a:prstGeom prst="line">
                                <a:avLst/>
                              </a:prstGeom>
                              <a:ln w="69850" cmpd="thickThin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1.2pt;margin-top:1.85pt;height:2.25pt;width:429.75pt;z-index:251659264;mso-width-relative:page;mso-height-relative:page;" filled="f" stroked="t" coordsize="21600,21600" o:gfxdata="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Qm6dk1AAAAAYBAAAPAAAAAAAAAAEAIAAAACIAAABkcnMvZG93bnJldi54&#10;bWxQSwECFAAUAAAACACHTuJA76taN/4BAADIAwAADgAAAAAAAAABACAAAAAjAQAAZHJzL2Uyb0Rv&#10;Yy54bWxQSwUGAAAAAAYABgBZAQAAkwUAAAAA&#10;">
                      <v:fill on="f" focussize="0,0"/>
                      <v:stroke weight="5.5pt" color="#FF0000 [3205]" linestyle="thickThin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tabs>
                <w:tab w:val="left" w:pos="2151"/>
              </w:tabs>
              <w:bidi w:val="0"/>
              <w:jc w:val="left"/>
              <w:rPr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313" w:afterLines="100" w:line="15" w:lineRule="atLeast"/>
        <w:ind w:right="0"/>
        <w:jc w:val="both"/>
        <w:textAlignment w:val="auto"/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【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</w:rPr>
        <w:t>疫情防控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配合学校每天做好重点区域旅居史排查工作、及时报送相关师生数据，改进学生每日健康打卡督促方式，保证健康打卡率100%，实时关注各年级学生健康情况。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4" w:leftChars="0" w:firstLine="416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ascii="仿宋" w:hAnsi="仿宋" w:eastAsia="仿宋"/>
          <w:color w:val="000000"/>
          <w:sz w:val="32"/>
          <w:szCs w:val="32"/>
        </w:rPr>
        <w:t>根据上级和学校疫情防控要求，督促学院全体师生按要求参加核酸检测，做到应测尽测、应检尽检，不留死角、不漏一人。自觉压实主体责任，严格落实学校疫情防控工作要求，做好核酸检测组织动员和统计工作。配合学校每天做好重点区域旅居史排查工作、及时报送相关师学数据。截止5月13日，</w:t>
      </w:r>
      <w:r>
        <w:rPr>
          <w:rFonts w:ascii="仿宋" w:hAnsi="仿宋" w:eastAsia="仿宋"/>
          <w:b/>
          <w:bCs/>
          <w:color w:val="auto"/>
          <w:sz w:val="32"/>
          <w:szCs w:val="32"/>
        </w:rPr>
        <w:t>教职工“新冠”疫苗加强针接种情况</w:t>
      </w:r>
      <w:r>
        <w:rPr>
          <w:rFonts w:ascii="仿宋" w:hAnsi="仿宋" w:eastAsia="仿宋"/>
          <w:color w:val="000000"/>
          <w:sz w:val="32"/>
          <w:szCs w:val="32"/>
        </w:rPr>
        <w:t>：9位老师从没接种，1位老师已接种第一针，6位老师已接种第二针，50位老师已接种第三针（应该要接种第三针的老师是55位，但由于身体原因，有5位老师没有接种第三针）。</w:t>
      </w:r>
    </w:p>
    <w:p>
      <w:pPr>
        <w:pStyle w:val="2"/>
        <w:numPr>
          <w:ilvl w:val="0"/>
          <w:numId w:val="1"/>
        </w:numPr>
        <w:ind w:left="0" w:leftChars="0" w:firstLine="419" w:firstLineChars="131"/>
        <w:rPr>
          <w:rFonts w:hint="eastAsia"/>
        </w:rPr>
      </w:pPr>
      <w:r>
        <w:rPr>
          <w:rFonts w:hint="eastAsia"/>
          <w:sz w:val="32"/>
          <w:szCs w:val="32"/>
        </w:rPr>
        <w:t>截止7月7日，全院两校区学生，暑期留校广州校区135人，佛山校区0人。全面统计摸查两校区学生留校意愿，行成统计信息台账，分年级、分版块管理，开展年级会议、组建联络群，督促留校期间疫情常态化管理，严格出入校审批。继续配合做好重点区域旅居史排查工作、及时报送相关学生数据，跟进留校学生旅居史相关处理事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313" w:afterLines="100" w:line="15" w:lineRule="atLeast"/>
        <w:ind w:right="0"/>
        <w:jc w:val="both"/>
        <w:textAlignment w:val="auto"/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【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</w:rPr>
        <w:t>党建思政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2022年上半年各支部新接收预备党员，完成上级党委谈话工作。配合学校组织部做好2022年上半年，党员发展数据统计。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313" w:afterLines="100" w:line="15" w:lineRule="atLeast"/>
        <w:ind w:right="0"/>
        <w:jc w:val="both"/>
        <w:textAlignment w:val="auto"/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【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</w:rPr>
        <w:t>教学科研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开展2022年夏季第三、四批毕业生审核相关工作。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做好2021-2022学年第二学期期末考试课程成绩录入管理工作。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根据招生计划核对2022级新生班级信息。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做好2022级教学任务书下发等相关工作。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做好2022级新生教材选用等相关工作。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做好撰写、审核、定稿《广东财经大学教学型实验室考核评估自评报告》和《广东财经大学教学型实验室考核评估佐证材料》，并装订成册，盖章上交教务处。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做好3年级（2019级土管专业、2020级土管专业、2019级房产）野外实习的仪器设备归还清点工作。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对暑假期间不使用的实验室，贴好封条。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根据招考处通知，学院组织编制2023年MPA研究生招生简章和专业目录。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做好2022级MPA教材更新统计工作。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审核全体MPA导师招生情况，提前做好2022级导师互选准备工作。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响应研究生学业预警机制，对学籍异动的同学，提前做好复学准备工作；整理延毕学生学位材料。坚持早发现、早沟通、早干预的工作方针，建立起学生、导师、学科秘书三方之间良好的学业沟通机制，助力学生完成学业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领取并发放研究生优秀论文证书。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完成2021-2022学年度科研成果登记工作。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根据科研处通知，学院组织开展项目清理工作。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313" w:afterLines="100" w:line="15" w:lineRule="atLeast"/>
        <w:ind w:right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【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</w:rPr>
        <w:t>学生工作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313" w:afterLines="100" w:line="15" w:lineRule="atLeast"/>
        <w:ind w:right="0"/>
        <w:jc w:val="both"/>
        <w:textAlignment w:val="auto"/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【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</w:rPr>
        <w:t>合作交流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】</w:t>
      </w:r>
    </w:p>
    <w:p>
      <w:pPr>
        <w:pStyle w:val="2"/>
        <w:numPr>
          <w:ilvl w:val="0"/>
          <w:numId w:val="1"/>
        </w:numPr>
        <w:ind w:left="0" w:leftChars="0" w:firstLine="420" w:firstLineChars="150"/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</w:pPr>
      <w:r>
        <w:rPr>
          <w:rFonts w:hint="default" w:ascii="宋体" w:hAnsi="宋体" w:eastAsia="宋体"/>
          <w:b w:val="0"/>
          <w:bCs/>
          <w:sz w:val="28"/>
          <w:szCs w:val="28"/>
          <w:lang w:eastAsia="zh-Hans"/>
        </w:rPr>
        <w:t>2022</w:t>
      </w:r>
      <w:r>
        <w:rPr>
          <w:rFonts w:hint="eastAsia" w:ascii="宋体" w:hAnsi="宋体" w:eastAsia="宋体"/>
          <w:b w:val="0"/>
          <w:bCs/>
          <w:sz w:val="28"/>
          <w:szCs w:val="28"/>
          <w:lang w:val="en-US" w:eastAsia="zh-Hans"/>
        </w:rPr>
        <w:t>年</w:t>
      </w:r>
      <w:r>
        <w:rPr>
          <w:rFonts w:hint="default" w:ascii="宋体" w:hAnsi="宋体" w:eastAsia="宋体"/>
          <w:b w:val="0"/>
          <w:bCs/>
          <w:sz w:val="28"/>
          <w:szCs w:val="28"/>
          <w:lang w:eastAsia="zh-Hans"/>
        </w:rPr>
        <w:t>7</w:t>
      </w:r>
      <w:r>
        <w:rPr>
          <w:rFonts w:hint="eastAsia" w:ascii="宋体" w:hAnsi="宋体" w:eastAsia="宋体"/>
          <w:b w:val="0"/>
          <w:bCs/>
          <w:sz w:val="28"/>
          <w:szCs w:val="28"/>
          <w:lang w:val="en-US" w:eastAsia="zh-Hans"/>
        </w:rPr>
        <w:t>月</w:t>
      </w:r>
      <w:r>
        <w:rPr>
          <w:rFonts w:hint="default" w:ascii="宋体" w:hAnsi="宋体" w:eastAsia="宋体"/>
          <w:b w:val="0"/>
          <w:bCs/>
          <w:sz w:val="28"/>
          <w:szCs w:val="28"/>
          <w:lang w:eastAsia="zh-Hans"/>
        </w:rPr>
        <w:t>2-3</w:t>
      </w:r>
      <w:r>
        <w:rPr>
          <w:rFonts w:hint="eastAsia" w:ascii="宋体" w:hAnsi="宋体" w:eastAsia="宋体"/>
          <w:b w:val="0"/>
          <w:bCs/>
          <w:sz w:val="28"/>
          <w:szCs w:val="28"/>
          <w:lang w:val="en-US" w:eastAsia="zh-Hans"/>
        </w:rPr>
        <w:t>号</w:t>
      </w:r>
      <w:r>
        <w:rPr>
          <w:rFonts w:hint="default" w:ascii="宋体" w:hAnsi="宋体" w:eastAsia="宋体"/>
          <w:b w:val="0"/>
          <w:bCs/>
          <w:sz w:val="28"/>
          <w:szCs w:val="28"/>
          <w:lang w:eastAsia="zh-Hans"/>
        </w:rPr>
        <w:t>，</w:t>
      </w:r>
      <w:r>
        <w:rPr>
          <w:rFonts w:hint="eastAsia" w:ascii="宋体" w:hAnsi="宋体" w:eastAsia="宋体"/>
          <w:b w:val="0"/>
          <w:bCs/>
          <w:sz w:val="28"/>
          <w:szCs w:val="28"/>
          <w:lang w:val="en-US" w:eastAsia="zh-Hans"/>
        </w:rPr>
        <w:t>广东省本科高校公共管理类专业教学指导委员会主办了“</w:t>
      </w:r>
      <w:r>
        <w:rPr>
          <w:rFonts w:hint="eastAsia" w:ascii="宋体" w:hAnsi="宋体" w:eastAsia="宋体"/>
          <w:b w:val="0"/>
          <w:bCs/>
          <w:sz w:val="28"/>
          <w:szCs w:val="28"/>
        </w:rPr>
        <w:t>新文科与公共管理一流本科专业建设经验交流会</w:t>
      </w:r>
      <w:r>
        <w:rPr>
          <w:rFonts w:hint="eastAsia" w:ascii="宋体" w:hAnsi="宋体" w:eastAsia="宋体"/>
          <w:b w:val="0"/>
          <w:bCs/>
          <w:sz w:val="28"/>
          <w:szCs w:val="28"/>
          <w:lang w:eastAsia="zh-Hans"/>
        </w:rPr>
        <w:t>”</w:t>
      </w:r>
      <w:r>
        <w:rPr>
          <w:rFonts w:hint="default" w:ascii="宋体" w:hAnsi="宋体" w:eastAsia="宋体"/>
          <w:b w:val="0"/>
          <w:bCs/>
          <w:sz w:val="28"/>
          <w:szCs w:val="28"/>
          <w:lang w:eastAsia="zh-Hans"/>
        </w:rPr>
        <w:t>，</w:t>
      </w:r>
      <w:r>
        <w:rPr>
          <w:rFonts w:hint="eastAsia" w:ascii="宋体" w:hAnsi="宋体" w:eastAsia="宋体"/>
          <w:b w:val="0"/>
          <w:bCs/>
          <w:sz w:val="28"/>
          <w:szCs w:val="28"/>
          <w:lang w:val="en-US" w:eastAsia="zh-Hans"/>
        </w:rPr>
        <w:t>会议由中山大学政治与公共事务管理学院承办</w:t>
      </w:r>
      <w:r>
        <w:rPr>
          <w:rFonts w:hint="default" w:ascii="宋体" w:hAnsi="宋体" w:eastAsia="宋体"/>
          <w:b w:val="0"/>
          <w:bCs/>
          <w:sz w:val="28"/>
          <w:szCs w:val="28"/>
          <w:lang w:eastAsia="zh-Hans"/>
        </w:rPr>
        <w:t>。</w:t>
      </w:r>
      <w:r>
        <w:rPr>
          <w:rFonts w:hint="eastAsia" w:ascii="宋体" w:hAnsi="宋体" w:eastAsia="宋体"/>
          <w:b w:val="0"/>
          <w:bCs/>
          <w:sz w:val="28"/>
          <w:szCs w:val="28"/>
          <w:lang w:val="en-US" w:eastAsia="zh-Hans"/>
        </w:rPr>
        <w:t>我院教师庄大昌教授作为教指委委员</w:t>
      </w:r>
      <w:r>
        <w:rPr>
          <w:rFonts w:hint="default" w:ascii="宋体" w:hAnsi="宋体" w:eastAsia="宋体"/>
          <w:b w:val="0"/>
          <w:bCs/>
          <w:sz w:val="28"/>
          <w:szCs w:val="28"/>
          <w:lang w:eastAsia="zh-Hans"/>
        </w:rPr>
        <w:t>、</w:t>
      </w:r>
      <w:r>
        <w:rPr>
          <w:rFonts w:hint="eastAsia" w:ascii="宋体" w:hAnsi="宋体" w:eastAsia="宋体"/>
          <w:b w:val="0"/>
          <w:bCs/>
          <w:sz w:val="28"/>
          <w:szCs w:val="28"/>
          <w:lang w:val="en-US" w:eastAsia="zh-Hans"/>
        </w:rPr>
        <w:t>姚军副院长代表广东财经大学公共管理学院参加了会议</w:t>
      </w:r>
      <w:r>
        <w:rPr>
          <w:rFonts w:hint="default" w:ascii="宋体" w:hAnsi="宋体" w:eastAsia="宋体"/>
          <w:b w:val="0"/>
          <w:bCs/>
          <w:sz w:val="28"/>
          <w:szCs w:val="28"/>
          <w:lang w:eastAsia="zh-Hans"/>
        </w:rPr>
        <w:t>，</w:t>
      </w:r>
      <w:r>
        <w:rPr>
          <w:rFonts w:hint="eastAsia" w:ascii="宋体" w:hAnsi="宋体" w:eastAsia="宋体"/>
          <w:b w:val="0"/>
          <w:bCs/>
          <w:sz w:val="28"/>
          <w:szCs w:val="28"/>
          <w:lang w:val="en-US" w:eastAsia="zh-Hans"/>
        </w:rPr>
        <w:t>并做了交流发言</w:t>
      </w:r>
      <w:r>
        <w:rPr>
          <w:rFonts w:hint="default" w:ascii="宋体" w:hAnsi="宋体" w:eastAsia="宋体"/>
          <w:b w:val="0"/>
          <w:bCs/>
          <w:sz w:val="28"/>
          <w:szCs w:val="28"/>
          <w:lang w:eastAsia="zh-Hans"/>
        </w:rPr>
        <w:t>。</w:t>
      </w:r>
      <w:r>
        <w:rPr>
          <w:rFonts w:hint="eastAsia" w:ascii="宋体" w:hAnsi="宋体" w:eastAsia="宋体"/>
          <w:b w:val="0"/>
          <w:bCs/>
          <w:sz w:val="28"/>
          <w:szCs w:val="28"/>
          <w:lang w:val="en-US" w:eastAsia="zh-Hans"/>
        </w:rPr>
        <w:t>会议</w:t>
      </w:r>
      <w:r>
        <w:rPr>
          <w:rFonts w:hint="default" w:ascii="宋体" w:hAnsi="宋体" w:eastAsia="宋体"/>
          <w:b w:val="0"/>
          <w:bCs/>
          <w:sz w:val="28"/>
          <w:szCs w:val="28"/>
          <w:lang w:eastAsia="zh-Hans"/>
        </w:rPr>
        <w:t>进行了卓有成效的讨论，</w:t>
      </w:r>
      <w:r>
        <w:rPr>
          <w:rFonts w:hint="eastAsia" w:ascii="宋体" w:hAnsi="宋体" w:eastAsia="宋体"/>
          <w:b w:val="0"/>
          <w:bCs/>
          <w:sz w:val="28"/>
          <w:szCs w:val="28"/>
          <w:lang w:val="en-US" w:eastAsia="zh-Hans"/>
        </w:rPr>
        <w:t>达成了重要共识</w:t>
      </w:r>
      <w:r>
        <w:rPr>
          <w:rFonts w:hint="default" w:ascii="宋体" w:hAnsi="宋体" w:eastAsia="宋体"/>
          <w:b w:val="0"/>
          <w:bCs/>
          <w:sz w:val="28"/>
          <w:szCs w:val="28"/>
          <w:lang w:eastAsia="zh-Hans"/>
        </w:rPr>
        <w:t>。</w:t>
      </w:r>
      <w:r>
        <w:rPr>
          <w:rFonts w:hint="eastAsia" w:ascii="宋体" w:hAnsi="宋体" w:eastAsia="宋体"/>
          <w:b w:val="0"/>
          <w:bCs/>
          <w:sz w:val="28"/>
          <w:szCs w:val="28"/>
          <w:lang w:val="en-US" w:eastAsia="zh-Hans"/>
        </w:rPr>
        <w:t>谭安奎主任委员的最后总结引发与会人员的共鸣</w:t>
      </w:r>
      <w:r>
        <w:rPr>
          <w:rFonts w:hint="default" w:ascii="宋体" w:hAnsi="宋体" w:eastAsia="宋体"/>
          <w:b w:val="0"/>
          <w:bCs/>
          <w:sz w:val="28"/>
          <w:szCs w:val="28"/>
          <w:lang w:eastAsia="zh-Hans"/>
        </w:rPr>
        <w:t>：我们将本着基于学科建设、基于知识需求、基于社会发展、基于要素平衡办好公共管理专业。</w:t>
      </w:r>
    </w:p>
    <w:p>
      <w:pPr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0" w:right="0" w:firstLine="560" w:firstLineChars="200"/>
        <w:jc w:val="center"/>
        <w:textAlignment w:val="auto"/>
        <w:rPr>
          <w:rFonts w:hint="eastAsia" w:ascii="楷体" w:hAnsi="楷体" w:eastAsia="楷体" w:cs="楷体"/>
          <w:color w:val="000000"/>
          <w:sz w:val="36"/>
          <w:szCs w:val="36"/>
        </w:rPr>
      </w:pPr>
      <w:r>
        <w:rPr>
          <w:rFonts w:hint="default" w:ascii="宋体" w:hAnsi="宋体" w:eastAsia="宋体"/>
          <w:b w:val="0"/>
          <w:bCs/>
          <w:sz w:val="28"/>
          <w:szCs w:val="28"/>
          <w:lang w:eastAsia="zh-Hans"/>
        </w:rPr>
        <w:drawing>
          <wp:inline distT="0" distB="0" distL="114300" distR="114300">
            <wp:extent cx="5266055" cy="2773045"/>
            <wp:effectExtent l="0" t="0" r="10795" b="8255"/>
            <wp:docPr id="2" name="图片 2" descr="WX20220703-230947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X20220703-230947@2x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313" w:afterLines="100" w:line="15" w:lineRule="atLeast"/>
        <w:ind w:right="0"/>
        <w:jc w:val="both"/>
        <w:textAlignment w:val="auto"/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【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</w:rPr>
        <w:t>综合管理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】</w:t>
      </w:r>
    </w:p>
    <w:p>
      <w:pPr>
        <w:numPr>
          <w:ilvl w:val="0"/>
          <w:numId w:val="1"/>
        </w:numPr>
        <w:ind w:left="0" w:leftChars="0" w:firstLine="419" w:firstLineChars="131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2022年7月3日，公共管理学院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19级房地产开发与管理专业73名学生前往江门市、湛江市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开展暑期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实践活动，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学院党委书记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钟智、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副院长（主持工作）姚军、副书记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李天德、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副院长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张慧霞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等指导老师参加了活动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钟智强调了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专业综合实践活动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在人才培养中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的重要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地位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，鼓励房产专业学生</w:t>
      </w:r>
      <w:r>
        <w:rPr>
          <w:rFonts w:hint="eastAsia" w:ascii="仿宋" w:hAnsi="仿宋" w:eastAsia="仿宋" w:cs="仿宋"/>
          <w:sz w:val="32"/>
          <w:szCs w:val="32"/>
        </w:rPr>
        <w:t>通过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此次综合实践学习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把专业学习、调研考察与暑期社会实践紧密结合，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增强认识、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拓宽视野、提升素质，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更好地</w:t>
      </w:r>
      <w:r>
        <w:rPr>
          <w:rFonts w:hint="eastAsia" w:ascii="仿宋" w:hAnsi="仿宋" w:eastAsia="仿宋" w:cs="仿宋"/>
          <w:sz w:val="32"/>
          <w:szCs w:val="32"/>
        </w:rPr>
        <w:t>把所学知识梳理归类，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积极了解</w:t>
      </w:r>
      <w:r>
        <w:rPr>
          <w:rFonts w:hint="eastAsia" w:ascii="仿宋" w:hAnsi="仿宋" w:eastAsia="仿宋" w:cs="仿宋"/>
          <w:sz w:val="32"/>
          <w:szCs w:val="32"/>
        </w:rPr>
        <w:t>当前行业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发展</w:t>
      </w:r>
      <w:r>
        <w:rPr>
          <w:rFonts w:hint="eastAsia" w:ascii="仿宋" w:hAnsi="仿宋" w:eastAsia="仿宋" w:cs="仿宋"/>
          <w:sz w:val="32"/>
          <w:szCs w:val="32"/>
        </w:rPr>
        <w:t>现状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，思考未来</w:t>
      </w:r>
      <w:r>
        <w:rPr>
          <w:rFonts w:hint="eastAsia" w:ascii="仿宋" w:hAnsi="仿宋" w:eastAsia="仿宋" w:cs="仿宋"/>
          <w:sz w:val="32"/>
          <w:szCs w:val="32"/>
        </w:rPr>
        <w:t>发展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方向，</w:t>
      </w:r>
      <w:r>
        <w:rPr>
          <w:rFonts w:hint="eastAsia" w:ascii="仿宋" w:hAnsi="仿宋" w:eastAsia="仿宋" w:cs="仿宋"/>
          <w:sz w:val="32"/>
          <w:szCs w:val="32"/>
        </w:rPr>
        <w:t>为今后的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事业</w:t>
      </w:r>
      <w:r>
        <w:rPr>
          <w:rFonts w:hint="eastAsia" w:ascii="仿宋" w:hAnsi="仿宋" w:eastAsia="仿宋" w:cs="仿宋"/>
          <w:sz w:val="32"/>
          <w:szCs w:val="32"/>
        </w:rPr>
        <w:t>打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好</w:t>
      </w:r>
      <w:r>
        <w:rPr>
          <w:rFonts w:hint="eastAsia" w:ascii="仿宋" w:hAnsi="仿宋" w:eastAsia="仿宋" w:cs="仿宋"/>
          <w:sz w:val="32"/>
          <w:szCs w:val="32"/>
        </w:rPr>
        <w:t>基础。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送行领导嘱咐全体师生注意安全，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保证活动有序、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顺利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开展，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并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预祝本次活动圆满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成功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以此为开始，公共管理学院拉开2022年学生暑期社会实践序幕，学院将组织70支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理论普及宣讲、党史学习教育、乡村振兴促进、发展成就观察、民族团结实践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等主题团队，分赴省内外开展社会实践，</w:t>
      </w:r>
      <w:r>
        <w:rPr>
          <w:rFonts w:hint="eastAsia" w:ascii="仿宋" w:hAnsi="仿宋" w:eastAsia="仿宋" w:cs="仿宋"/>
          <w:sz w:val="32"/>
          <w:szCs w:val="32"/>
        </w:rPr>
        <w:t>拓宽学生视野，锻炼意志，强化学生综合利用知识能力、开拓创新能力，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以</w:t>
      </w:r>
      <w:r>
        <w:rPr>
          <w:rFonts w:hint="eastAsia" w:ascii="仿宋" w:hAnsi="仿宋" w:eastAsia="仿宋" w:cs="仿宋"/>
          <w:sz w:val="32"/>
          <w:szCs w:val="32"/>
        </w:rPr>
        <w:t>提升学生的综合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素质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2"/>
      </w:pPr>
      <w:r>
        <w:drawing>
          <wp:inline distT="0" distB="0" distL="114300" distR="114300">
            <wp:extent cx="2577465" cy="2722880"/>
            <wp:effectExtent l="0" t="0" r="1333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272415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0" w:leftChars="0" w:firstLine="419" w:firstLineChars="131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color w:val="000000"/>
          <w:sz w:val="32"/>
          <w:szCs w:val="32"/>
          <w:lang w:val="en-US" w:eastAsia="zh-CN"/>
        </w:rPr>
        <w:t>2022年7月8日（周五）下午14：30在北2-601会议室召开2022年第一学期工作总结会，</w:t>
      </w:r>
      <w:r>
        <w:rPr>
          <w:rFonts w:hint="eastAsia" w:ascii="仿宋" w:hAnsi="仿宋" w:eastAsia="仿宋"/>
          <w:color w:val="000000"/>
          <w:sz w:val="32"/>
          <w:szCs w:val="32"/>
          <w:lang w:val="en-US" w:eastAsia="zh-CN"/>
        </w:rPr>
        <w:t>会上各系主任、学院分管领导分别从各自工作的总体情况、存在问题、下学期工作重点等进行汇报和总结，也分别谈了工作中不足和努力的方向，最后姚军院长和钟智书记对整个学院的行政工作、教学科研工作、党建和学生工作等进行全面总结，并提出暑假期间和下学期的工作。</w:t>
      </w:r>
    </w:p>
    <w:p>
      <w:pPr>
        <w:pStyle w:val="2"/>
        <w:rPr>
          <w:rFonts w:hint="default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271770" cy="3000375"/>
            <wp:effectExtent l="0" t="0" r="508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313" w:afterLines="100" w:line="15" w:lineRule="atLeast"/>
        <w:ind w:right="0"/>
        <w:jc w:val="both"/>
        <w:textAlignment w:val="auto"/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【研究生工作】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完成2022届毕业生第一批共79份学籍档案的整理寄送工作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完成公共管理学院MPA学生参加2022年度大学生暑期社会实践活动的申报书和活动方案上报。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目前MPA2022届毕业生中尚有4名同学未填报就业信息。继续引导、服务学生就业，对尚未就业研究生进行关心关怀和帮助。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-10" w:leftChars="0" w:firstLine="430" w:firstLineChars="0"/>
        <w:jc w:val="both"/>
        <w:textAlignment w:val="auto"/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持续收集研究生新生档案。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ACC9B7"/>
    <w:multiLevelType w:val="singleLevel"/>
    <w:tmpl w:val="E2ACC9B7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2B3B648"/>
    <w:multiLevelType w:val="singleLevel"/>
    <w:tmpl w:val="42B3B648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  <w:sz w:val="32"/>
        <w:szCs w:val="32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NkOGY4MTNjNjE2M2Q2NmNkOTVjNTkwOGYwZWRjZTUifQ=="/>
  </w:docVars>
  <w:rsids>
    <w:rsidRoot w:val="66BC6E6D"/>
    <w:rsid w:val="06AC0949"/>
    <w:rsid w:val="070047B1"/>
    <w:rsid w:val="07D8700E"/>
    <w:rsid w:val="0B043F8B"/>
    <w:rsid w:val="0F70685A"/>
    <w:rsid w:val="0F7A534C"/>
    <w:rsid w:val="11C07F7F"/>
    <w:rsid w:val="1A614E9E"/>
    <w:rsid w:val="1FF335AB"/>
    <w:rsid w:val="22EC43C9"/>
    <w:rsid w:val="2EA25342"/>
    <w:rsid w:val="34437A7B"/>
    <w:rsid w:val="3FAB5883"/>
    <w:rsid w:val="47065681"/>
    <w:rsid w:val="477162E7"/>
    <w:rsid w:val="4CBC40C3"/>
    <w:rsid w:val="54D344CF"/>
    <w:rsid w:val="563572F6"/>
    <w:rsid w:val="66BC6E6D"/>
    <w:rsid w:val="690B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  <w:rPr>
      <w:rFonts w:ascii="Times New Roman" w:hAnsi="Times New Roman"/>
      <w:szCs w:val="21"/>
    </w:rPr>
  </w:style>
  <w:style w:type="paragraph" w:styleId="3">
    <w:name w:val="Normal Indent"/>
    <w:basedOn w:val="1"/>
    <w:qFormat/>
    <w:uiPriority w:val="0"/>
    <w:pPr>
      <w:adjustRightInd w:val="0"/>
      <w:spacing w:line="360" w:lineRule="auto"/>
      <w:ind w:firstLine="420"/>
      <w:textAlignment w:val="baseline"/>
    </w:pPr>
    <w:rPr>
      <w:rFonts w:ascii="Calibri" w:hAnsi="Calibri" w:eastAsia="宋体" w:cs="Times New Roman"/>
      <w:kern w:val="0"/>
      <w:sz w:val="24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1741</Words>
  <Characters>1845</Characters>
  <Lines>0</Lines>
  <Paragraphs>0</Paragraphs>
  <TotalTime>110</TotalTime>
  <ScaleCrop>false</ScaleCrop>
  <LinksUpToDate>false</LinksUpToDate>
  <CharactersWithSpaces>1852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2022-04-22T08:58:00Z</dcterms:created>
  <dc:creator>曾华强(19951522)</dc:creator>
  <cp:lastModifiedBy>曾华强</cp:lastModifiedBy>
  <cp:lastPrinted>2022-04-22T09:19:00Z</cp:lastPrinted>
  <dcterms:modified xsi:type="dcterms:W3CDTF">2022-07-08T10:02:09Z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BB05E5B4B1EF425DADF65DE3A14F271F</vt:lpwstr>
  </property>
  <property fmtid="{D5CDD505-2E9C-101B-9397-08002B2CF9AE}" pid="4" name="commondata">
    <vt:lpwstr>eyJoZGlkIjoiMWNkOGY4MTNjNjE2M2Q2NmNkOTVjNTkwOGYwZWRjZTUifQ==</vt:lpwstr>
  </property>
</Properties>
</file>