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Spec="center" w:tblpY="1083"/>
        <w:tblOverlap w:val="never"/>
        <w:tblW w:w="86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0"/>
        <w:gridCol w:w="4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vertAlign w:val="baseline"/>
                <w:lang w:eastAsia="zh-CN"/>
              </w:rPr>
              <w:t>内部文件</w:t>
            </w: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vertAlign w:val="baseline"/>
                <w:lang w:val="en-US" w:eastAsia="zh-CN"/>
              </w:rPr>
              <w:t xml:space="preserve"> 请勿外传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default" w:eastAsia="黑体" w:cs="黑体" w:asciiTheme="majorAscii" w:hAnsiTheme="majorAscii"/>
                <w:b/>
                <w:bCs/>
                <w:color w:val="FF0000"/>
                <w:sz w:val="52"/>
                <w:szCs w:val="52"/>
                <w:vertAlign w:val="baseline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FF0000"/>
                <w:sz w:val="52"/>
                <w:szCs w:val="52"/>
                <w:vertAlign w:val="baseline"/>
                <w:lang w:eastAsia="zh-CN"/>
              </w:rPr>
              <w:t>公共管理学院信息简报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after="0" w:line="15" w:lineRule="atLeast"/>
              <w:ind w:right="0"/>
              <w:jc w:val="center"/>
              <w:textAlignment w:val="auto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eastAsia="zh-CN"/>
              </w:rPr>
              <w:t>202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val="en-US" w:eastAsia="zh-CN"/>
              </w:rPr>
              <w:t>3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eastAsia="zh-CN"/>
              </w:rPr>
              <w:t>年第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val="en-US" w:eastAsia="zh-CN"/>
              </w:rPr>
              <w:t xml:space="preserve"> 5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6"/>
                <w:szCs w:val="36"/>
                <w:lang w:eastAsia="zh-CN"/>
              </w:rPr>
              <w:t>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4460" w:type="dxa"/>
            <w:tcBorders>
              <w:tl2br w:val="nil"/>
              <w:tr2bl w:val="nil"/>
            </w:tcBorders>
            <w:vAlign w:val="top"/>
          </w:tcPr>
          <w:p>
            <w:pPr>
              <w:ind w:firstLine="321" w:firstLineChars="100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学院办公室</w:t>
            </w:r>
          </w:p>
        </w:tc>
        <w:tc>
          <w:tcPr>
            <w:tcW w:w="4160" w:type="dxa"/>
            <w:tcBorders>
              <w:tl2br w:val="nil"/>
              <w:tr2bl w:val="nil"/>
            </w:tcBorders>
            <w:vAlign w:val="top"/>
          </w:tcPr>
          <w:p>
            <w:pPr>
              <w:ind w:firstLine="964" w:firstLineChars="300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val="en-US" w:eastAsia="zh-CN"/>
              </w:rPr>
              <w:t xml:space="preserve">2023年 4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月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val="en-US" w:eastAsia="zh-CN"/>
              </w:rPr>
              <w:t xml:space="preserve"> </w:t>
            </w: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val="en-US" w:eastAsia="zh-CN"/>
              </w:rPr>
              <w:t xml:space="preserve">7 </w:t>
            </w: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color w:val="000000"/>
                <w:spacing w:val="0"/>
                <w:sz w:val="32"/>
                <w:szCs w:val="32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8620" w:type="dxa"/>
            <w:gridSpan w:val="2"/>
            <w:tcBorders>
              <w:tl2br w:val="nil"/>
              <w:tr2bl w:val="nil"/>
            </w:tcBorders>
            <w:vAlign w:val="top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23495</wp:posOffset>
                      </wp:positionV>
                      <wp:extent cx="5457825" cy="28575"/>
                      <wp:effectExtent l="0" t="34925" r="9525" b="5080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308735" y="2296795"/>
                                <a:ext cx="5457825" cy="28575"/>
                              </a:xfrm>
                              <a:prstGeom prst="line">
                                <a:avLst/>
                              </a:prstGeom>
                              <a:ln w="69850" cmpd="thickThin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2pt;margin-top:1.85pt;height:2.25pt;width:429.75pt;z-index:251659264;mso-width-relative:page;mso-height-relative:page;" filled="f" stroked="t" coordsize="21600,21600" o:gfxdata="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Qm6dk1AAAAAYBAAAPAAAAAAAAAAEAIAAAACIAAABkcnMvZG93bnJldi54&#10;bWxQSwECFAAUAAAACACHTuJA76taN/4BAADIAwAADgAAAAAAAAABACAAAAAjAQAAZHJzL2Uyb0Rv&#10;Yy54bWxQSwUGAAAAAAYABgBZAQAAkwUAAAAA&#10;">
                      <v:fill on="f" focussize="0,0"/>
                      <v:stroke weight="5.5pt" color="#FF0000 [3205]" linestyle="thickThin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tabs>
                <w:tab w:val="left" w:pos="2151"/>
              </w:tabs>
              <w:bidi w:val="0"/>
              <w:jc w:val="left"/>
              <w:rPr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党建思政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left="0" w:leftChars="0" w:right="0" w:rightChars="0" w:firstLine="419" w:firstLineChars="131"/>
        <w:jc w:val="both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根据中共中央办公厅发出的《在全党大兴社会调查研究的工作方案》，第三党支部根据自身特色和发展定位打造“探索+”系列社会调研与服务品牌，于4月4日组织社会工作2021和2022级学生开展“探索淼城”活动，分别前往校级实践基地三水力工集团总部、文峰东党群服务中心的专业社会服务推广，江根村、福田村的乡村振兴，河口百年火车站和白坭粮食博物馆的红色历史文化进行调研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-10" w:right="0" w:hanging="420"/>
        <w:jc w:val="both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-10" w:right="0" w:hanging="420"/>
        <w:jc w:val="center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drawing>
          <wp:inline distT="0" distB="0" distL="114300" distR="114300">
            <wp:extent cx="5271770" cy="2673985"/>
            <wp:effectExtent l="0" t="0" r="508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textAlignment w:val="auto"/>
        <w:rPr>
          <w:rFonts w:ascii="仿宋" w:hAnsi="仿宋" w:eastAsia="仿宋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教学科研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sz w:val="32"/>
          <w:szCs w:val="32"/>
        </w:rPr>
      </w:pPr>
      <w:r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完成MPA论文80篇查重及二次查重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-10" w:leftChars="0" w:right="0" w:firstLine="430" w:firstLineChars="0"/>
        <w:jc w:val="both"/>
        <w:rPr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学院组织申报2023年度教育部人文社会科学研究一般项目，组织申报老师完成院内申报辅导。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学院组织开展2023年度国家社会科学基金项目申报工作。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学院组织开展教学科研人员学科归属年度备案工作。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实验室分管副院长及管理员参加教务处组织2023年4月7日于行政楼8楼第二会议室举行线上“2023 年高校实验室安全检查启动暨培训会”。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巡检实验室仪器设备情况，及时维护，处理计算机无法关机问题；填写《实验室每日安全记录台账》、《实验室仪器设备借用登记表》、《实验室钥匙领取登记表》、《实验任课教师签到表》等相关资料；跟进处理实验室仪器设备待报废的相关事项。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组织开展我院2022-2023学年第二学期课程补（缓）考成绩录入工作、考后试卷归档工作；协助体育教学部等公选课程补（缓）考安排，通知相关课程学生加入考试班群。根据期末考试安排需求，更正2022-2023学年第二学期课程考核方式，组织任课老师将确定的考试安排通知到各教学班。</w:t>
      </w:r>
    </w:p>
    <w:p>
      <w:pPr>
        <w:pStyle w:val="5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跟进2023届毕业生学历、学位证书线上线下图像信息采集与收集工作，通知逾期未采集6位和照片不合格8位学生进行线上采集。</w:t>
      </w:r>
    </w:p>
    <w:p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360" w:lineRule="auto"/>
        <w:ind w:left="0" w:leftChars="0" w:right="0" w:rightChars="0" w:firstLine="419" w:firstLineChars="131"/>
        <w:jc w:val="both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汇总提交我院2023届被抽检本科毕业论文，做好反抄袭检测工作。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学生工作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pStyle w:val="5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-10" w:leftChars="0" w:right="0" w:firstLine="430" w:firstLineChars="0"/>
        <w:jc w:val="both"/>
      </w:pPr>
      <w:r>
        <w:rPr>
          <w:rFonts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积极组织毕业生参加校园线下招聘会、国家重点地区专项招聘计划宣讲，推动应届毕业生就业工作。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4月4日，我校举行2023年广州市“阳光就业”高校毕业生系列招聘活动广东财经大学专场，组织2019级、2021行专毕业班学生到场参加面试双选。4月7日，国家重点地区专招计划宣讲在北三-708举行，广州校区辅导员杨茜带队毕业班意向同学到场参会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-10" w:right="0" w:firstLine="430"/>
        <w:jc w:val="both"/>
      </w:pPr>
      <w:r>
        <w:drawing>
          <wp:inline distT="0" distB="0" distL="114300" distR="114300">
            <wp:extent cx="5389880" cy="3695700"/>
            <wp:effectExtent l="0" t="0" r="127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both"/>
        <w:textAlignment w:val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合作交流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</w:rPr>
        <w:t>综合管理</w:t>
      </w: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】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【研究生工作】</w:t>
      </w:r>
    </w:p>
    <w:p>
      <w:pPr>
        <w:pStyle w:val="5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 w:line="240" w:lineRule="auto"/>
        <w:ind w:left="0" w:leftChars="0" w:right="0" w:firstLine="421" w:firstLineChars="131"/>
        <w:jc w:val="both"/>
      </w:pPr>
      <w:r>
        <w:rPr>
          <w:rFonts w:ascii="仿宋" w:hAnsi="仿宋" w:eastAsia="仿宋" w:cs="仿宋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做好毕业生就业服务、就业指导工作。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持续推送就业信息。截至4月7日，学院104名应届毕业的研究生中，有72人提交了就业信息。尚未就业的32人，学院参加就业会议，传达就业动态和就业政策、就业信息。学院持续通过一对一师生谈话了解毕业生就业动态、进展，给与尚未就业的同学针对性的服务和就业指导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leftChars="0" w:right="0" w:firstLine="419" w:firstLineChars="131"/>
        <w:jc w:val="both"/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◆</w:t>
      </w: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做好学生日常管理和服务工作。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学生找工作需要开具党员证明、各年级学生因个人需要开具在校证明等，学院帮忙办理。完成2023年春季毕业生的领证工作。再次整理2022级的新生档案，为移交档案室做好进一步工作。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20" w:afterAutospacing="0" w:line="240" w:lineRule="auto"/>
        <w:ind w:left="0" w:leftChars="0" w:right="0" w:firstLine="419" w:firstLineChars="131"/>
        <w:jc w:val="both"/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◆</w:t>
      </w: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召开研究生座谈会。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4月4日上午，学院党委书记钟智在佛山校区主持召开研究生座谈会，对研究生的各项工作进行多维度的指导，强化研究生思想政治教育工作、学风班风建设、研究生素质教育活动、重视各项安全，做好安全意识培养，防范各类风险，并强调了研究生的管理服务工作。钟智书记当天同时走访了全日制MPA的学生宿舍，了解研究生需求，倾听研究生心声，与学生们进行深入交谈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2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2410460"/>
            <wp:effectExtent l="0" t="0" r="9525" b="889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20" w:afterAutospacing="0" w:line="240" w:lineRule="auto"/>
        <w:ind w:left="0" w:leftChars="0" w:right="0" w:firstLine="419" w:firstLineChars="131"/>
        <w:jc w:val="both"/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◆</w:t>
      </w: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做好招生答疑和新生录取工作。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及时处理放弃拟录取学生的后续工作，并通知跟进候补学生补位。持续通过办公热线解答各类招生问题，通过多种方式做好上传下达，确保拟录取考生资料到位。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leftChars="0" w:right="0" w:firstLine="419" w:firstLineChars="131"/>
        <w:jc w:val="both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◆</w:t>
      </w: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组织师生参加第八届广东MPA羽毛球团体赛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。赛前组织线下练球，本周线下组织两次提前练习。20名师生将于4月9日代表广东财经大学MPA参加省赛。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15" w:lineRule="atLeast"/>
        <w:ind w:right="0"/>
        <w:jc w:val="both"/>
        <w:textAlignment w:val="auto"/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40"/>
          <w:szCs w:val="40"/>
          <w:lang w:eastAsia="zh-CN"/>
        </w:rPr>
        <w:t>【工作亮点】</w:t>
      </w:r>
    </w:p>
    <w:p>
      <w:pPr>
        <w:pStyle w:val="2"/>
        <w:numPr>
          <w:ilvl w:val="0"/>
          <w:numId w:val="6"/>
        </w:numPr>
        <w:ind w:left="0" w:leftChars="0" w:firstLine="419" w:firstLineChars="13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2"/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CBD11A"/>
    <w:multiLevelType w:val="singleLevel"/>
    <w:tmpl w:val="87CBD11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92CC411"/>
    <w:multiLevelType w:val="multilevel"/>
    <w:tmpl w:val="892CC411"/>
    <w:lvl w:ilvl="0" w:tentative="0">
      <w:start w:val="1"/>
      <w:numFmt w:val="bullet"/>
      <w:lvlText w:val=""/>
      <w:lvlJc w:val="left"/>
      <w:pPr>
        <w:ind w:left="720"/>
      </w:pPr>
      <w:rPr>
        <w:rFonts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12038C40"/>
    <w:multiLevelType w:val="multilevel"/>
    <w:tmpl w:val="12038C40"/>
    <w:lvl w:ilvl="0" w:tentative="0">
      <w:start w:val="1"/>
      <w:numFmt w:val="bullet"/>
      <w:lvlText w:val=""/>
      <w:lvlJc w:val="left"/>
      <w:pPr>
        <w:ind w:left="720"/>
      </w:pPr>
      <w:rPr>
        <w:rFonts w:hint="default" w:ascii="Wingdings" w:hAnsi="Wingdings" w:cs="Wingdings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2E7AC0C7"/>
    <w:multiLevelType w:val="singleLevel"/>
    <w:tmpl w:val="2E7AC0C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32"/>
        <w:szCs w:val="32"/>
      </w:rPr>
    </w:lvl>
  </w:abstractNum>
  <w:abstractNum w:abstractNumId="4">
    <w:nsid w:val="59CBE48B"/>
    <w:multiLevelType w:val="singleLevel"/>
    <w:tmpl w:val="59CBE48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8D147D7"/>
    <w:multiLevelType w:val="singleLevel"/>
    <w:tmpl w:val="78D147D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sz w:val="32"/>
        <w:szCs w:val="32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kOGY4MTNjNjE2M2Q2NmNkOTVjNTkwOGYwZWRjZTUifQ=="/>
  </w:docVars>
  <w:rsids>
    <w:rsidRoot w:val="66BC6E6D"/>
    <w:rsid w:val="070047B1"/>
    <w:rsid w:val="0B043F8B"/>
    <w:rsid w:val="0F70685A"/>
    <w:rsid w:val="0F7A534C"/>
    <w:rsid w:val="11C07F7F"/>
    <w:rsid w:val="147F7DC4"/>
    <w:rsid w:val="1A614E9E"/>
    <w:rsid w:val="1C831308"/>
    <w:rsid w:val="1FF335AB"/>
    <w:rsid w:val="22EC43C9"/>
    <w:rsid w:val="2B776CD8"/>
    <w:rsid w:val="2EA25342"/>
    <w:rsid w:val="34437A7B"/>
    <w:rsid w:val="37957762"/>
    <w:rsid w:val="3FAB5883"/>
    <w:rsid w:val="4CBC40C3"/>
    <w:rsid w:val="54D344CF"/>
    <w:rsid w:val="563572F6"/>
    <w:rsid w:val="59992400"/>
    <w:rsid w:val="5E37532B"/>
    <w:rsid w:val="62987791"/>
    <w:rsid w:val="64F276E0"/>
    <w:rsid w:val="65023631"/>
    <w:rsid w:val="6522497D"/>
    <w:rsid w:val="66BC6E6D"/>
    <w:rsid w:val="690B2E56"/>
    <w:rsid w:val="6CC450D3"/>
    <w:rsid w:val="71F812A9"/>
    <w:rsid w:val="75493065"/>
    <w:rsid w:val="7C35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Times New Roman" w:hAnsi="Times New Roman"/>
      <w:szCs w:val="21"/>
    </w:rPr>
  </w:style>
  <w:style w:type="paragraph" w:styleId="3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</Words>
  <Characters>92</Characters>
  <Lines>0</Lines>
  <Paragraphs>0</Paragraphs>
  <TotalTime>12</TotalTime>
  <ScaleCrop>false</ScaleCrop>
  <LinksUpToDate>false</LinksUpToDate>
  <CharactersWithSpaces>101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2022-04-22T08:58:00Z</dcterms:created>
  <dc:creator>曾华强(19951522)</dc:creator>
  <cp:lastModifiedBy>曾华强</cp:lastModifiedBy>
  <cp:lastPrinted>2022-04-22T09:19:00Z</cp:lastPrinted>
  <dcterms:modified xsi:type="dcterms:W3CDTF">2023-04-07T06:46:05Z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0007E696BFF343419C49C02251E30237_13</vt:lpwstr>
  </property>
  <property fmtid="{D5CDD505-2E9C-101B-9397-08002B2CF9AE}" pid="4" name="commondata">
    <vt:lpwstr>eyJoZGlkIjoiMWNkOGY4MTNjNjE2M2Q2NmNkOTVjNTkwOGYwZWRjZTUifQ==</vt:lpwstr>
  </property>
</Properties>
</file>