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before="0" w:after="0" w:line="680" w:lineRule="exact"/>
        <w:jc w:val="center"/>
        <w:textAlignment w:val="auto"/>
        <w:rPr>
          <w:rFonts w:hint="eastAsia" w:ascii="方正小标宋简体" w:hAnsi="方正小标宋简体" w:eastAsia="方正小标宋简体" w:cs="方正小标宋简体"/>
          <w:b/>
          <w:bCs/>
          <w:color w:val="FF0000"/>
          <w:sz w:val="52"/>
          <w:szCs w:val="52"/>
        </w:rPr>
      </w:pPr>
      <w:r>
        <w:rPr>
          <w:rFonts w:hint="eastAsia" w:ascii="方正小标宋简体" w:hAnsi="方正小标宋简体" w:eastAsia="方正小标宋简体" w:cs="方正小标宋简体"/>
          <w:b/>
          <w:bCs/>
          <w:color w:val="FF0000"/>
          <w:sz w:val="52"/>
          <w:szCs w:val="52"/>
        </w:rPr>
        <w:t>公共管理学院信息简报</w:t>
      </w:r>
    </w:p>
    <w:p>
      <w:pPr>
        <w:keepNext w:val="0"/>
        <w:keepLines w:val="0"/>
        <w:pageBreakBefore w:val="0"/>
        <w:widowControl w:val="0"/>
        <w:kinsoku/>
        <w:wordWrap/>
        <w:overflowPunct/>
        <w:topLinePunct w:val="0"/>
        <w:autoSpaceDE/>
        <w:autoSpaceDN/>
        <w:bidi w:val="0"/>
        <w:adjustRightInd/>
        <w:snapToGrid w:val="0"/>
        <w:spacing w:before="0" w:after="0" w:line="520" w:lineRule="exact"/>
        <w:jc w:val="center"/>
        <w:textAlignment w:val="auto"/>
        <w:rPr>
          <w:rFonts w:hint="eastAsia" w:ascii="宋体" w:hAnsi="宋体" w:eastAsia="宋体"/>
          <w:b/>
          <w:bCs/>
          <w:color w:val="auto"/>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val="0"/>
        <w:spacing w:before="0" w:after="0" w:line="520" w:lineRule="exact"/>
        <w:jc w:val="center"/>
        <w:textAlignment w:val="auto"/>
        <w:rPr>
          <w:rFonts w:hint="eastAsia" w:ascii="宋体" w:hAnsi="宋体" w:eastAsia="宋体"/>
          <w:b/>
          <w:bCs/>
          <w:color w:val="000000"/>
          <w:spacing w:val="0"/>
          <w:sz w:val="32"/>
          <w:szCs w:val="32"/>
          <w:lang w:eastAsia="zh-CN"/>
        </w:rPr>
      </w:pPr>
      <w:r>
        <w:rPr>
          <w:rFonts w:hint="eastAsia" w:ascii="宋体" w:hAnsi="宋体" w:eastAsia="宋体"/>
          <w:b/>
          <w:bCs/>
          <w:color w:val="auto"/>
          <w:sz w:val="28"/>
          <w:szCs w:val="28"/>
          <w:u w:val="none"/>
          <w:lang w:val="en-US" w:eastAsia="zh-CN"/>
        </w:rPr>
        <w:t>（2022年第4期）</w:t>
      </w:r>
    </w:p>
    <w:p>
      <w:pPr>
        <w:snapToGrid w:val="0"/>
        <w:spacing w:before="0" w:after="0" w:line="15" w:lineRule="atLeast"/>
        <w:ind w:right="0"/>
        <w:jc w:val="center"/>
        <w:rPr>
          <w:rFonts w:hint="eastAsia" w:ascii="宋体" w:hAnsi="宋体" w:eastAsia="宋体"/>
          <w:b/>
          <w:bCs/>
          <w:color w:val="FF0000"/>
          <w:spacing w:val="0"/>
          <w:sz w:val="32"/>
          <w:szCs w:val="32"/>
          <w:lang w:eastAsia="zh-CN"/>
        </w:rPr>
      </w:pPr>
    </w:p>
    <w:p>
      <w:pPr>
        <w:snapToGrid w:val="0"/>
        <w:spacing w:before="0" w:after="0" w:line="15" w:lineRule="atLeast"/>
        <w:ind w:right="0"/>
        <w:jc w:val="center"/>
        <w:rPr>
          <w:rFonts w:ascii="宋体" w:hAnsi="宋体" w:eastAsia="宋体"/>
          <w:color w:val="000000"/>
          <w:spacing w:val="0"/>
          <w:sz w:val="32"/>
          <w:szCs w:val="32"/>
        </w:rPr>
      </w:pPr>
      <w:r>
        <w:rPr>
          <w:rFonts w:hint="eastAsia" w:ascii="宋体" w:hAnsi="宋体" w:eastAsia="宋体"/>
          <w:b/>
          <w:bCs/>
          <w:color w:val="auto"/>
          <w:sz w:val="28"/>
          <w:szCs w:val="28"/>
          <w:u w:val="none"/>
          <w:lang w:val="en-US" w:eastAsia="zh-CN"/>
        </w:rPr>
        <w:t>公共管理</w:t>
      </w:r>
      <w:r>
        <w:rPr>
          <w:rFonts w:ascii="宋体" w:hAnsi="宋体" w:eastAsia="宋体"/>
          <w:b/>
          <w:bCs/>
          <w:color w:val="auto"/>
          <w:sz w:val="28"/>
          <w:szCs w:val="28"/>
          <w:u w:val="none"/>
        </w:rPr>
        <w:t>学院办公室</w:t>
      </w:r>
      <w:r>
        <w:rPr>
          <w:rFonts w:ascii="宋体" w:hAnsi="宋体" w:eastAsia="宋体"/>
          <w:b/>
          <w:bCs/>
          <w:color w:val="000000"/>
          <w:spacing w:val="0"/>
          <w:sz w:val="32"/>
          <w:szCs w:val="32"/>
          <w:u w:val="none"/>
        </w:rPr>
        <w:t xml:space="preserve"> </w:t>
      </w:r>
      <w:r>
        <w:rPr>
          <w:rFonts w:ascii="宋体" w:hAnsi="宋体" w:eastAsia="宋体"/>
          <w:b/>
          <w:bCs/>
          <w:color w:val="000000"/>
          <w:spacing w:val="0"/>
          <w:sz w:val="32"/>
          <w:szCs w:val="32"/>
        </w:rPr>
        <w:t xml:space="preserve">      </w:t>
      </w:r>
      <w:r>
        <w:rPr>
          <w:rFonts w:hint="eastAsia" w:ascii="宋体" w:hAnsi="宋体" w:eastAsia="宋体"/>
          <w:b/>
          <w:bCs/>
          <w:color w:val="auto"/>
          <w:sz w:val="28"/>
          <w:szCs w:val="28"/>
          <w:u w:val="none"/>
          <w:lang w:val="en-US" w:eastAsia="zh-CN"/>
        </w:rPr>
        <w:t xml:space="preserve">      2022年4月15日</w:t>
      </w:r>
      <w:r>
        <w:rPr>
          <w:rFonts w:hint="default" w:ascii="宋体" w:hAnsi="宋体" w:eastAsia="宋体"/>
          <w:b/>
          <w:bCs/>
          <w:color w:val="auto"/>
          <w:sz w:val="28"/>
          <w:szCs w:val="28"/>
          <w:u w:val="none"/>
          <w:lang w:eastAsia="zh-CN"/>
        </w:rPr>
        <w:t xml:space="preserve"> </w:t>
      </w:r>
    </w:p>
    <w:p>
      <w:pPr>
        <w:snapToGrid w:val="0"/>
        <w:spacing w:before="0" w:after="0" w:line="240" w:lineRule="auto"/>
        <w:jc w:val="left"/>
        <w:rPr>
          <w:rFonts w:ascii="微软雅黑" w:hAnsi="微软雅黑" w:eastAsia="微软雅黑"/>
          <w:color w:val="000000"/>
          <w:sz w:val="21"/>
          <w:szCs w:val="21"/>
        </w:rPr>
      </w:pPr>
      <w:r>
        <w:rPr>
          <w:sz w:val="32"/>
        </w:rPr>
        <mc:AlternateContent>
          <mc:Choice Requires="wps">
            <w:drawing>
              <wp:anchor distT="0" distB="0" distL="114300" distR="114300" simplePos="0" relativeHeight="251661312" behindDoc="0" locked="0" layoutInCell="1" allowOverlap="1">
                <wp:simplePos x="0" y="0"/>
                <wp:positionH relativeFrom="column">
                  <wp:posOffset>-76835</wp:posOffset>
                </wp:positionH>
                <wp:positionV relativeFrom="paragraph">
                  <wp:posOffset>36195</wp:posOffset>
                </wp:positionV>
                <wp:extent cx="5143500" cy="28575"/>
                <wp:effectExtent l="0" t="6350" r="12700" b="15875"/>
                <wp:wrapNone/>
                <wp:docPr id="10" name="直接连接符 10"/>
                <wp:cNvGraphicFramePr/>
                <a:graphic xmlns:a="http://schemas.openxmlformats.org/drawingml/2006/main">
                  <a:graphicData uri="http://schemas.microsoft.com/office/word/2010/wordprocessingShape">
                    <wps:wsp>
                      <wps:cNvCnPr/>
                      <wps:spPr>
                        <a:xfrm>
                          <a:off x="1223010" y="1877695"/>
                          <a:ext cx="5143500" cy="28575"/>
                        </a:xfrm>
                        <a:prstGeom prst="line">
                          <a:avLst/>
                        </a:prstGeom>
                        <a:ln>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6.05pt;margin-top:2.85pt;height:2.25pt;width:405pt;z-index:251661312;mso-width-relative:page;mso-height-relative:page;" filled="f" stroked="t" coordsize="21600,21600" o:gfxdata="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0zFmdkAAAAIAQAADwAAAAAAAAABACAAAAAiAAAAZHJzL2Rvd25yZXYueG1sUEsBAhQAFAAAAAgA&#10;h07iQDFYMubrAQAArAMAAA4AAAAAAAAAAQAgAAAAKAEAAGRycy9lMm9Eb2MueG1sUEsFBgAAAAAG&#10;AAYAWQEAAIUFAAAAAA==&#10;">
                <v:fill on="f" focussize="0,0"/>
                <v:stroke color="#0070C0 [3205]" joinstyle="round"/>
                <v:imagedata o:title=""/>
                <o:lock v:ext="edit" aspectratio="f"/>
              </v:line>
            </w:pict>
          </mc:Fallback>
        </mc:AlternateContent>
      </w:r>
    </w:p>
    <w:p>
      <w:pPr>
        <w:snapToGrid w:val="0"/>
        <w:spacing w:before="0" w:after="374" w:line="15" w:lineRule="atLeast"/>
        <w:ind w:right="0"/>
        <w:jc w:val="both"/>
        <w:rPr>
          <w:rFonts w:hint="eastAsia" w:ascii="黑体" w:hAnsi="黑体" w:eastAsia="黑体" w:cs="黑体"/>
          <w:b/>
          <w:bCs/>
          <w:color w:val="000000"/>
          <w:sz w:val="32"/>
          <w:szCs w:val="32"/>
        </w:rPr>
      </w:pPr>
      <w:r>
        <w:rPr>
          <w:rFonts w:hint="eastAsia" w:ascii="黑体" w:hAnsi="黑体" w:eastAsia="黑体" w:cs="黑体"/>
          <w:b/>
          <w:bCs/>
          <w:color w:val="000000"/>
          <w:sz w:val="32"/>
          <w:szCs w:val="32"/>
        </w:rPr>
        <w:t>【疫情防控】</w:t>
      </w:r>
    </w:p>
    <w:p>
      <w:pPr>
        <w:numPr>
          <w:ilvl w:val="0"/>
          <w:numId w:val="1"/>
        </w:numPr>
        <w:snapToGrid w:val="0"/>
        <w:spacing w:before="0" w:after="0" w:line="360" w:lineRule="auto"/>
        <w:ind w:left="218" w:leftChars="104" w:firstLine="617" w:firstLineChars="193"/>
        <w:jc w:val="both"/>
        <w:rPr>
          <w:rFonts w:ascii="仿宋" w:hAnsi="仿宋" w:eastAsia="仿宋"/>
          <w:color w:val="000000"/>
          <w:sz w:val="32"/>
          <w:szCs w:val="32"/>
        </w:rPr>
      </w:pPr>
      <w:r>
        <w:rPr>
          <w:rFonts w:ascii="仿宋" w:hAnsi="仿宋" w:eastAsia="仿宋"/>
          <w:color w:val="000000"/>
          <w:sz w:val="32"/>
          <w:szCs w:val="32"/>
        </w:rPr>
        <w:t>配合学校每天做好重点区域旅居史排查工作、及时报送相关师生数据，改进学生每日健康打卡督促方式，保证健康打卡率100%，实时关注各年级学生健康情况。</w:t>
      </w:r>
      <w:r>
        <w:rPr>
          <w:rFonts w:hint="eastAsia" w:ascii="仿宋" w:hAnsi="仿宋" w:eastAsia="仿宋"/>
          <w:color w:val="000000"/>
          <w:sz w:val="32"/>
          <w:szCs w:val="32"/>
        </w:rPr>
        <w:t>截止4月14日，全院本科学生广州校区已返校620人，因疫情暂缓（东莞、深圳）共59人，毕业班实习暂缓122人；佛山校区已返校875人，因疫情暂缓4人，其中（东莞）2人、（湖南）1人、（广州白云区）1人，其他情况请假5人。“新冠”疫苗加强针接种情况，广州校区到期799人，完成736人，接种率92.1%；佛山校区到期840，完成656人，接种完成率78.1%。</w:t>
      </w:r>
    </w:p>
    <w:p>
      <w:pPr>
        <w:numPr>
          <w:ilvl w:val="0"/>
          <w:numId w:val="1"/>
        </w:numPr>
        <w:snapToGrid w:val="0"/>
        <w:spacing w:before="0" w:after="0" w:line="360" w:lineRule="auto"/>
        <w:ind w:left="214" w:leftChars="102" w:firstLine="624" w:firstLineChars="195"/>
        <w:jc w:val="both"/>
        <w:rPr>
          <w:rFonts w:ascii="仿宋" w:hAnsi="仿宋" w:eastAsia="仿宋"/>
          <w:color w:val="000000"/>
          <w:sz w:val="32"/>
          <w:szCs w:val="32"/>
        </w:rPr>
      </w:pPr>
      <w:r>
        <w:rPr>
          <w:rFonts w:ascii="仿宋" w:hAnsi="仿宋" w:eastAsia="仿宋"/>
          <w:color w:val="000000"/>
          <w:sz w:val="32"/>
          <w:szCs w:val="32"/>
        </w:rPr>
        <w:t>4月9-12日，根据上级和学校疫情防控要求，督促学院全体师生按要求参加核酸检测，做到应测尽测、应检尽检，不留死角、不漏一人。自觉压实主体责任，严格落实学校疫情防控工作要求，做好核酸检测组织动员和统计工作。</w:t>
      </w:r>
      <w:r>
        <w:rPr>
          <w:rFonts w:hint="eastAsia" w:ascii="仿宋" w:hAnsi="仿宋" w:eastAsia="仿宋"/>
          <w:color w:val="000000"/>
          <w:sz w:val="32"/>
          <w:szCs w:val="32"/>
        </w:rPr>
        <w:t>配合学校每天做好重点区域旅居史排查工作、及时报送相关</w:t>
      </w:r>
      <w:r>
        <w:rPr>
          <w:rFonts w:hint="eastAsia" w:ascii="仿宋" w:hAnsi="仿宋" w:eastAsia="仿宋"/>
          <w:color w:val="000000"/>
          <w:sz w:val="32"/>
          <w:szCs w:val="32"/>
          <w:lang w:eastAsia="zh-CN"/>
        </w:rPr>
        <w:t>师</w:t>
      </w:r>
      <w:r>
        <w:rPr>
          <w:rFonts w:hint="eastAsia" w:ascii="仿宋" w:hAnsi="仿宋" w:eastAsia="仿宋"/>
          <w:color w:val="000000"/>
          <w:sz w:val="32"/>
          <w:szCs w:val="32"/>
        </w:rPr>
        <w:t>学数据</w:t>
      </w:r>
      <w:r>
        <w:rPr>
          <w:rFonts w:hint="eastAsia" w:ascii="仿宋" w:hAnsi="仿宋" w:eastAsia="仿宋"/>
          <w:color w:val="000000"/>
          <w:sz w:val="32"/>
          <w:szCs w:val="32"/>
          <w:lang w:eastAsia="zh-CN"/>
        </w:rPr>
        <w:t>。</w:t>
      </w:r>
    </w:p>
    <w:p>
      <w:pPr>
        <w:snapToGrid w:val="0"/>
        <w:spacing w:before="0" w:after="374" w:line="15" w:lineRule="atLeast"/>
        <w:ind w:right="0"/>
        <w:jc w:val="both"/>
        <w:rPr>
          <w:rFonts w:hint="eastAsia" w:ascii="黑体" w:hAnsi="黑体" w:eastAsia="黑体" w:cs="黑体"/>
          <w:b/>
          <w:bCs/>
          <w:color w:val="000000"/>
          <w:sz w:val="32"/>
          <w:szCs w:val="32"/>
        </w:rPr>
      </w:pPr>
      <w:r>
        <w:rPr>
          <w:rFonts w:hint="eastAsia" w:ascii="黑体" w:hAnsi="黑体" w:eastAsia="黑体" w:cs="黑体"/>
          <w:b/>
          <w:bCs/>
          <w:color w:val="000000"/>
          <w:sz w:val="32"/>
          <w:szCs w:val="32"/>
        </w:rPr>
        <w:t>【党建思政】</w:t>
      </w:r>
    </w:p>
    <w:p>
      <w:pPr>
        <w:numPr>
          <w:ilvl w:val="0"/>
          <w:numId w:val="1"/>
        </w:numPr>
        <w:snapToGrid w:val="0"/>
        <w:spacing w:before="0" w:after="0" w:line="360" w:lineRule="auto"/>
        <w:ind w:left="214" w:leftChars="102" w:firstLine="624" w:firstLineChars="195"/>
        <w:jc w:val="both"/>
        <w:rPr>
          <w:rFonts w:ascii="仿宋" w:hAnsi="仿宋" w:eastAsia="仿宋"/>
          <w:color w:val="000000"/>
          <w:sz w:val="32"/>
          <w:szCs w:val="32"/>
        </w:rPr>
      </w:pPr>
      <w:r>
        <w:rPr>
          <w:rFonts w:ascii="仿宋" w:hAnsi="仿宋" w:eastAsia="仿宋"/>
          <w:color w:val="000000"/>
          <w:sz w:val="32"/>
          <w:szCs w:val="32"/>
        </w:rPr>
        <w:t>4月12日，召开党建工作会议。会议围绕突出</w:t>
      </w:r>
    </w:p>
    <w:p>
      <w:pPr>
        <w:numPr>
          <w:ilvl w:val="0"/>
          <w:numId w:val="0"/>
        </w:numPr>
        <w:snapToGrid w:val="0"/>
        <w:spacing w:before="0" w:after="0" w:line="360" w:lineRule="auto"/>
        <w:jc w:val="both"/>
        <w:rPr>
          <w:rFonts w:ascii="仿宋" w:hAnsi="仿宋" w:eastAsia="仿宋"/>
          <w:color w:val="000000"/>
          <w:sz w:val="32"/>
          <w:szCs w:val="32"/>
        </w:rPr>
      </w:pPr>
      <w:r>
        <w:rPr>
          <w:rFonts w:ascii="仿宋" w:hAnsi="仿宋" w:eastAsia="仿宋"/>
          <w:color w:val="000000"/>
          <w:sz w:val="32"/>
          <w:szCs w:val="32"/>
        </w:rPr>
        <w:t>政治引领，全面强化党建主体责任；突出思想引领，全面深化理想信念教育；着力组织建设，全面夯实基层组织堡垒；着力队伍建设，提升基层党员素质四个方对2021年学院党建工作进行了总结，对过去一年党建工作的主要业绩、存在的问题，进行了分析汇报。</w:t>
      </w:r>
      <w:r>
        <w:rPr>
          <w:rFonts w:hint="eastAsia" w:ascii="仿宋" w:hAnsi="仿宋" w:eastAsia="仿宋"/>
          <w:color w:val="000000"/>
          <w:sz w:val="32"/>
          <w:szCs w:val="32"/>
          <w:lang w:val="en-US" w:eastAsia="zh-CN"/>
        </w:rPr>
        <w:t>会议讨论通过了《公共管理学院加强学生思想政治工作，推进“三全育人”培养“五向”青年实施方案（试行）》，</w:t>
      </w:r>
      <w:r>
        <w:rPr>
          <w:rFonts w:ascii="仿宋" w:hAnsi="仿宋" w:eastAsia="仿宋"/>
          <w:color w:val="000000"/>
          <w:sz w:val="32"/>
          <w:szCs w:val="32"/>
        </w:rPr>
        <w:t>通过优化五个机制、强化五支队伍、培育五个平台、开展五个教育、营造五种文化、实施五大行动，培养（向党、向真、向善、向美、向上）“五向”青年，推动学生德智体美劳全面发展。进一步完善学院学生思想政治教育体系，强化学生思想教育。</w:t>
      </w:r>
    </w:p>
    <w:p>
      <w:pPr>
        <w:numPr>
          <w:ilvl w:val="0"/>
          <w:numId w:val="0"/>
        </w:numPr>
        <w:snapToGrid w:val="0"/>
        <w:spacing w:before="0" w:after="0" w:line="360" w:lineRule="auto"/>
        <w:ind w:firstLine="640" w:firstLineChars="200"/>
        <w:jc w:val="both"/>
        <w:rPr>
          <w:rFonts w:ascii="仿宋" w:hAnsi="仿宋" w:eastAsia="仿宋"/>
          <w:color w:val="000000"/>
          <w:sz w:val="32"/>
          <w:szCs w:val="32"/>
        </w:rPr>
      </w:pPr>
      <w:r>
        <w:rPr>
          <w:rFonts w:hint="eastAsia" w:ascii="仿宋" w:hAnsi="仿宋" w:eastAsia="仿宋"/>
          <w:color w:val="000000"/>
          <w:sz w:val="32"/>
          <w:szCs w:val="32"/>
          <w:lang w:val="en-US" w:eastAsia="zh-CN"/>
        </w:rPr>
        <w:t>会议传达学习了《广东财经大学2022年党建工作要点》，并就学院党建工作进行四方面部署：</w:t>
      </w:r>
      <w:r>
        <w:rPr>
          <w:rFonts w:ascii="仿宋" w:hAnsi="仿宋" w:eastAsia="仿宋"/>
          <w:color w:val="000000"/>
          <w:sz w:val="32"/>
          <w:szCs w:val="32"/>
        </w:rPr>
        <w:t>一是“抓引领”聚焦党建工作体系化；二是“牢基础”聚焦党建工作规范化；三是“突亮点”聚焦党建工作特色化；四是“严党纪”聚焦从严治党长效化</w:t>
      </w:r>
      <w:r>
        <w:rPr>
          <w:rFonts w:hint="eastAsia" w:ascii="仿宋" w:hAnsi="仿宋" w:eastAsia="仿宋"/>
          <w:color w:val="000000"/>
          <w:sz w:val="32"/>
          <w:szCs w:val="32"/>
          <w:lang w:val="en-US" w:eastAsia="zh-CN"/>
        </w:rPr>
        <w:t>。</w:t>
      </w:r>
      <w:r>
        <w:rPr>
          <w:rFonts w:ascii="仿宋" w:hAnsi="仿宋" w:eastAsia="仿宋"/>
          <w:color w:val="000000"/>
          <w:sz w:val="32"/>
          <w:szCs w:val="32"/>
        </w:rPr>
        <w:t>学院党委书记钟智、学院副院长（主持行政工作）姚军和党委副书记李天德还分别就意识形态安全工作、党风廉政建设、疫情防控工作、就业工作等方面进行了</w:t>
      </w:r>
      <w:r>
        <w:rPr>
          <w:rFonts w:hint="eastAsia" w:ascii="仿宋" w:hAnsi="仿宋" w:eastAsia="仿宋"/>
          <w:color w:val="000000"/>
          <w:sz w:val="32"/>
          <w:szCs w:val="32"/>
          <w:lang w:val="en-US" w:eastAsia="zh-CN"/>
        </w:rPr>
        <w:t>研究</w:t>
      </w:r>
      <w:r>
        <w:rPr>
          <w:rFonts w:ascii="仿宋" w:hAnsi="仿宋" w:eastAsia="仿宋"/>
          <w:color w:val="000000"/>
          <w:sz w:val="32"/>
          <w:szCs w:val="32"/>
        </w:rPr>
        <w:t>部署。</w:t>
      </w:r>
    </w:p>
    <w:p>
      <w:pPr>
        <w:snapToGrid w:val="0"/>
        <w:spacing w:before="0" w:after="0" w:line="360" w:lineRule="auto"/>
        <w:ind w:leftChars="200"/>
        <w:jc w:val="both"/>
        <w:rPr>
          <w:rFonts w:ascii="仿宋" w:hAnsi="仿宋" w:eastAsia="仿宋"/>
          <w:color w:val="000000"/>
          <w:sz w:val="32"/>
          <w:szCs w:val="32"/>
        </w:rPr>
      </w:pPr>
      <w:r>
        <w:rPr>
          <w:rFonts w:ascii="微软雅黑" w:hAnsi="微软雅黑" w:eastAsia="微软雅黑"/>
          <w:color w:val="000000"/>
          <w:sz w:val="21"/>
          <w:szCs w:val="21"/>
        </w:rPr>
        <w:drawing>
          <wp:inline distT="0" distB="0" distL="0" distR="0">
            <wp:extent cx="4724400" cy="3200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724400" cy="3200400"/>
                    </a:xfrm>
                    <a:prstGeom prst="rect">
                      <a:avLst/>
                    </a:prstGeom>
                  </pic:spPr>
                </pic:pic>
              </a:graphicData>
            </a:graphic>
          </wp:inline>
        </w:drawing>
      </w:r>
    </w:p>
    <w:p>
      <w:pPr>
        <w:snapToGrid w:val="0"/>
        <w:spacing w:before="0" w:after="0" w:line="360" w:lineRule="auto"/>
        <w:ind w:leftChars="200"/>
        <w:jc w:val="both"/>
        <w:rPr>
          <w:rFonts w:ascii="仿宋" w:hAnsi="仿宋" w:eastAsia="仿宋"/>
          <w:color w:val="000000"/>
          <w:sz w:val="32"/>
          <w:szCs w:val="32"/>
        </w:rPr>
      </w:pPr>
    </w:p>
    <w:p>
      <w:pPr>
        <w:numPr>
          <w:ilvl w:val="0"/>
          <w:numId w:val="1"/>
        </w:numPr>
        <w:snapToGrid w:val="0"/>
        <w:spacing w:before="0" w:after="0" w:line="360" w:lineRule="auto"/>
        <w:ind w:left="214" w:leftChars="102" w:firstLine="624" w:firstLineChars="195"/>
        <w:jc w:val="both"/>
        <w:rPr>
          <w:rFonts w:ascii="仿宋" w:hAnsi="仿宋" w:eastAsia="仿宋"/>
          <w:color w:val="000000"/>
          <w:sz w:val="32"/>
          <w:szCs w:val="32"/>
        </w:rPr>
      </w:pPr>
      <w:r>
        <w:rPr>
          <w:rFonts w:ascii="仿宋" w:hAnsi="仿宋" w:eastAsia="仿宋"/>
          <w:color w:val="000000"/>
          <w:sz w:val="32"/>
          <w:szCs w:val="32"/>
        </w:rPr>
        <w:t>4月12日，召开党委会学习了第一议题—习近平总书记在中央政治局第三十七次集体学习时的重要讲话精神以及习近平总书记在中央党校（国家行政学院）中青年干部培训班开班式上的重要讲话精神。</w:t>
      </w:r>
    </w:p>
    <w:p>
      <w:pPr>
        <w:numPr>
          <w:ilvl w:val="0"/>
          <w:numId w:val="1"/>
        </w:numPr>
        <w:snapToGrid w:val="0"/>
        <w:spacing w:before="0" w:after="0" w:line="360" w:lineRule="auto"/>
        <w:ind w:left="214" w:leftChars="102" w:firstLine="624" w:firstLineChars="195"/>
        <w:jc w:val="both"/>
        <w:rPr>
          <w:rFonts w:ascii="仿宋" w:hAnsi="仿宋" w:eastAsia="仿宋"/>
          <w:color w:val="000000"/>
          <w:sz w:val="32"/>
          <w:szCs w:val="32"/>
        </w:rPr>
      </w:pPr>
      <w:r>
        <w:rPr>
          <w:rFonts w:ascii="仿宋" w:hAnsi="仿宋" w:eastAsia="仿宋"/>
          <w:color w:val="000000"/>
          <w:sz w:val="32"/>
          <w:szCs w:val="32"/>
        </w:rPr>
        <w:t>4月12日，召开公共管理学院党支部书记例会部署了近期党建工作，钟智书记部署了首批“双创”样板党支部公共管理学院佛山校区学生党支部中期检查工作，第二批“双创”标杆院系和样板党支部申报工作，“双带头人”教室工作室申报工作，“一院一品牌一支部一特色”申报工作。</w:t>
      </w:r>
    </w:p>
    <w:p>
      <w:pPr>
        <w:numPr>
          <w:ilvl w:val="0"/>
          <w:numId w:val="0"/>
        </w:numPr>
        <w:snapToGrid w:val="0"/>
        <w:spacing w:before="0" w:after="0" w:line="360" w:lineRule="auto"/>
        <w:jc w:val="both"/>
        <w:rPr>
          <w:rFonts w:ascii="仿宋" w:hAnsi="仿宋" w:eastAsia="仿宋"/>
          <w:color w:val="000000"/>
          <w:sz w:val="32"/>
          <w:szCs w:val="32"/>
        </w:rPr>
      </w:pPr>
      <w:r>
        <w:rPr>
          <w:rFonts w:hint="eastAsia" w:ascii="黑体" w:hAnsi="黑体" w:eastAsia="黑体" w:cs="黑体"/>
          <w:color w:val="000000"/>
          <w:sz w:val="32"/>
          <w:szCs w:val="32"/>
        </w:rPr>
        <w:t>【</w:t>
      </w:r>
      <w:r>
        <w:rPr>
          <w:rFonts w:hint="eastAsia" w:ascii="黑体" w:hAnsi="黑体" w:eastAsia="黑体" w:cs="黑体"/>
          <w:b/>
          <w:bCs/>
          <w:color w:val="000000"/>
          <w:sz w:val="32"/>
          <w:szCs w:val="32"/>
        </w:rPr>
        <w:t>教学科研</w:t>
      </w:r>
      <w:r>
        <w:rPr>
          <w:rFonts w:hint="eastAsia" w:ascii="黑体" w:hAnsi="黑体" w:eastAsia="黑体" w:cs="黑体"/>
          <w:color w:val="000000"/>
          <w:sz w:val="32"/>
          <w:szCs w:val="32"/>
        </w:rPr>
        <w:t xml:space="preserve">】 </w:t>
      </w:r>
      <w:r>
        <w:rPr>
          <w:rFonts w:ascii="仿宋" w:hAnsi="仿宋" w:eastAsia="仿宋"/>
          <w:color w:val="000000"/>
          <w:sz w:val="32"/>
          <w:szCs w:val="32"/>
        </w:rPr>
        <w:t xml:space="preserve">  </w:t>
      </w:r>
    </w:p>
    <w:p>
      <w:pPr>
        <w:numPr>
          <w:ilvl w:val="0"/>
          <w:numId w:val="1"/>
        </w:numPr>
        <w:snapToGrid w:val="0"/>
        <w:spacing w:before="0" w:after="0" w:line="360" w:lineRule="auto"/>
        <w:ind w:left="214" w:leftChars="102" w:firstLine="624" w:firstLineChars="195"/>
        <w:jc w:val="both"/>
        <w:rPr>
          <w:rFonts w:ascii="仿宋" w:hAnsi="仿宋" w:eastAsia="仿宋"/>
          <w:color w:val="000000"/>
          <w:sz w:val="32"/>
          <w:szCs w:val="32"/>
        </w:rPr>
      </w:pPr>
      <w:r>
        <w:rPr>
          <w:rFonts w:ascii="仿宋" w:hAnsi="仿宋" w:eastAsia="仿宋"/>
          <w:color w:val="000000"/>
          <w:sz w:val="32"/>
          <w:szCs w:val="32"/>
        </w:rPr>
        <w:t>4月8日，为加强实验室安全管理，保障实验教学和科研顺利开展，成立实验室安全工作小组，进一步明确相关人员主要职责，并修订《公共管理学院实验室安全工作小组巡查方案》，按学校要求开展常规巡查和专项检查。</w:t>
      </w:r>
    </w:p>
    <w:p>
      <w:pPr>
        <w:numPr>
          <w:ilvl w:val="0"/>
          <w:numId w:val="1"/>
        </w:numPr>
        <w:snapToGrid w:val="0"/>
        <w:spacing w:before="0" w:after="0" w:line="360" w:lineRule="auto"/>
        <w:ind w:left="233" w:leftChars="111" w:firstLine="601" w:firstLineChars="188"/>
        <w:jc w:val="both"/>
        <w:rPr>
          <w:rFonts w:ascii="仿宋" w:hAnsi="仿宋" w:eastAsia="仿宋"/>
          <w:color w:val="000000"/>
          <w:sz w:val="32"/>
          <w:szCs w:val="32"/>
        </w:rPr>
      </w:pPr>
      <w:r>
        <w:rPr>
          <w:rFonts w:ascii="仿宋" w:hAnsi="仿宋" w:eastAsia="仿宋"/>
          <w:color w:val="000000"/>
          <w:sz w:val="32"/>
          <w:szCs w:val="32"/>
        </w:rPr>
        <w:t>4月11日，学院党委书记钟智、副院长（主持行政工作）姚军、副院长张慧霞、办公室主任曾华强及其它相关人员迎接学校教务处、保卫处、后勤处等相关职能部门组成实验室安全检查。姚军</w:t>
      </w:r>
      <w:r>
        <w:rPr>
          <w:rFonts w:hint="eastAsia" w:ascii="仿宋" w:hAnsi="仿宋" w:eastAsia="仿宋"/>
          <w:color w:val="000000"/>
          <w:sz w:val="32"/>
          <w:szCs w:val="32"/>
          <w:lang w:val="en-US" w:eastAsia="zh-Hans"/>
        </w:rPr>
        <w:t>要求做好</w:t>
      </w:r>
      <w:r>
        <w:rPr>
          <w:rFonts w:ascii="仿宋" w:hAnsi="仿宋" w:eastAsia="仿宋"/>
          <w:color w:val="000000"/>
          <w:sz w:val="32"/>
          <w:szCs w:val="32"/>
        </w:rPr>
        <w:t>《实验室安全专项行动台账》、《高等学校实验室安全检查项目表（2022）》</w:t>
      </w:r>
      <w:r>
        <w:rPr>
          <w:rFonts w:hint="eastAsia" w:ascii="仿宋" w:hAnsi="仿宋" w:eastAsia="仿宋"/>
          <w:color w:val="000000"/>
          <w:sz w:val="32"/>
          <w:szCs w:val="32"/>
          <w:lang w:val="en-US" w:eastAsia="zh-Hans"/>
        </w:rPr>
        <w:t>的填报工作</w:t>
      </w:r>
      <w:r>
        <w:rPr>
          <w:rFonts w:ascii="仿宋" w:hAnsi="仿宋" w:eastAsia="仿宋"/>
          <w:color w:val="000000"/>
          <w:sz w:val="32"/>
          <w:szCs w:val="32"/>
        </w:rPr>
        <w:t>，</w:t>
      </w:r>
      <w:r>
        <w:rPr>
          <w:rFonts w:hint="eastAsia" w:ascii="仿宋" w:hAnsi="仿宋" w:eastAsia="仿宋"/>
          <w:color w:val="000000"/>
          <w:sz w:val="32"/>
          <w:szCs w:val="32"/>
          <w:lang w:val="en-US" w:eastAsia="zh-Hans"/>
        </w:rPr>
        <w:t>特别指出</w:t>
      </w:r>
      <w:r>
        <w:rPr>
          <w:rFonts w:ascii="仿宋" w:hAnsi="仿宋" w:eastAsia="仿宋"/>
          <w:color w:val="000000"/>
          <w:sz w:val="32"/>
          <w:szCs w:val="32"/>
        </w:rPr>
        <w:t>学院实验室安全工作开展情况</w:t>
      </w:r>
      <w:r>
        <w:rPr>
          <w:rFonts w:hint="eastAsia" w:ascii="仿宋" w:hAnsi="仿宋" w:eastAsia="仿宋"/>
          <w:color w:val="000000"/>
          <w:sz w:val="32"/>
          <w:szCs w:val="32"/>
          <w:lang w:val="en-US" w:eastAsia="zh-Hans"/>
        </w:rPr>
        <w:t>中</w:t>
      </w:r>
      <w:r>
        <w:rPr>
          <w:rFonts w:ascii="仿宋" w:hAnsi="仿宋" w:eastAsia="仿宋"/>
          <w:color w:val="000000"/>
          <w:sz w:val="32"/>
          <w:szCs w:val="32"/>
        </w:rPr>
        <w:t>存在的问题，</w:t>
      </w:r>
      <w:r>
        <w:rPr>
          <w:rFonts w:hint="eastAsia" w:ascii="仿宋" w:hAnsi="仿宋" w:eastAsia="仿宋"/>
          <w:color w:val="000000"/>
          <w:sz w:val="32"/>
          <w:szCs w:val="32"/>
          <w:lang w:val="en-US" w:eastAsia="zh-Hans"/>
        </w:rPr>
        <w:t>并</w:t>
      </w:r>
      <w:r>
        <w:rPr>
          <w:rFonts w:ascii="仿宋" w:hAnsi="仿宋" w:eastAsia="仿宋"/>
          <w:color w:val="000000"/>
          <w:sz w:val="32"/>
          <w:szCs w:val="32"/>
        </w:rPr>
        <w:t>亟需解决土地资源管理综合实验室的电线老化问题。相关职能部门对我院实验室安全管理工作给予了肯定，同时也对发现的问题进行了</w:t>
      </w:r>
      <w:r>
        <w:rPr>
          <w:rFonts w:hint="eastAsia" w:ascii="仿宋" w:hAnsi="仿宋" w:eastAsia="仿宋"/>
          <w:color w:val="000000"/>
          <w:sz w:val="32"/>
          <w:szCs w:val="32"/>
          <w:lang w:val="en-US" w:eastAsia="zh-CN"/>
        </w:rPr>
        <w:t>反馈。</w:t>
      </w:r>
    </w:p>
    <w:p>
      <w:pPr>
        <w:numPr>
          <w:ilvl w:val="0"/>
          <w:numId w:val="0"/>
        </w:numPr>
        <w:snapToGrid w:val="0"/>
        <w:spacing w:before="0" w:after="0" w:line="360" w:lineRule="auto"/>
        <w:jc w:val="both"/>
        <w:rPr>
          <w:rFonts w:ascii="仿宋" w:hAnsi="仿宋" w:eastAsia="仿宋"/>
          <w:color w:val="000000"/>
          <w:sz w:val="32"/>
          <w:szCs w:val="32"/>
        </w:rPr>
      </w:pPr>
      <w:r>
        <w:rPr>
          <w:rFonts w:ascii="仿宋" w:hAnsi="仿宋" w:eastAsia="仿宋"/>
          <w:color w:val="000000"/>
          <w:sz w:val="32"/>
          <w:szCs w:val="32"/>
        </w:rPr>
        <w:drawing>
          <wp:anchor distT="0" distB="0" distL="0" distR="0" simplePos="0" relativeHeight="251659264" behindDoc="0" locked="0" layoutInCell="1" allowOverlap="1">
            <wp:simplePos x="0" y="0"/>
            <wp:positionH relativeFrom="column">
              <wp:posOffset>2595880</wp:posOffset>
            </wp:positionH>
            <wp:positionV relativeFrom="paragraph">
              <wp:posOffset>191135</wp:posOffset>
            </wp:positionV>
            <wp:extent cx="1817370" cy="1657350"/>
            <wp:effectExtent l="0" t="0" r="1143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rcRect t="12721"/>
                    <a:stretch>
                      <a:fillRect/>
                    </a:stretch>
                  </pic:blipFill>
                  <pic:spPr>
                    <a:xfrm>
                      <a:off x="0" y="0"/>
                      <a:ext cx="1817370" cy="1657350"/>
                    </a:xfrm>
                    <a:prstGeom prst="rect">
                      <a:avLst/>
                    </a:prstGeom>
                  </pic:spPr>
                </pic:pic>
              </a:graphicData>
            </a:graphic>
          </wp:anchor>
        </w:drawing>
      </w:r>
      <w:r>
        <w:rPr>
          <w:rFonts w:ascii="仿宋" w:hAnsi="仿宋" w:eastAsia="仿宋"/>
          <w:color w:val="000000"/>
          <w:sz w:val="32"/>
          <w:szCs w:val="32"/>
        </w:rPr>
        <w:drawing>
          <wp:anchor distT="0" distB="0" distL="0" distR="0" simplePos="0" relativeHeight="251660288" behindDoc="0" locked="0" layoutInCell="1" allowOverlap="1">
            <wp:simplePos x="0" y="0"/>
            <wp:positionH relativeFrom="column">
              <wp:posOffset>266700</wp:posOffset>
            </wp:positionH>
            <wp:positionV relativeFrom="paragraph">
              <wp:posOffset>152400</wp:posOffset>
            </wp:positionV>
            <wp:extent cx="1886585" cy="1701800"/>
            <wp:effectExtent l="0" t="0" r="18415" b="1270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rcRect l="-1204" t="12050" r="1204" b="9528"/>
                    <a:stretch>
                      <a:fillRect/>
                    </a:stretch>
                  </pic:blipFill>
                  <pic:spPr>
                    <a:xfrm>
                      <a:off x="0" y="0"/>
                      <a:ext cx="1886585" cy="1701800"/>
                    </a:xfrm>
                    <a:prstGeom prst="rect">
                      <a:avLst/>
                    </a:prstGeom>
                  </pic:spPr>
                </pic:pic>
              </a:graphicData>
            </a:graphic>
          </wp:anchor>
        </w:drawing>
      </w:r>
    </w:p>
    <w:p>
      <w:pPr>
        <w:pStyle w:val="2"/>
        <w:rPr>
          <w:rFonts w:ascii="仿宋" w:hAnsi="仿宋" w:eastAsia="仿宋"/>
          <w:color w:val="000000"/>
          <w:sz w:val="32"/>
          <w:szCs w:val="32"/>
        </w:rPr>
      </w:pPr>
    </w:p>
    <w:p>
      <w:pPr>
        <w:rPr>
          <w:rFonts w:ascii="仿宋" w:hAnsi="仿宋" w:eastAsia="仿宋"/>
          <w:color w:val="000000"/>
          <w:sz w:val="32"/>
          <w:szCs w:val="32"/>
        </w:rPr>
      </w:pPr>
    </w:p>
    <w:p>
      <w:pPr>
        <w:pStyle w:val="2"/>
      </w:pPr>
    </w:p>
    <w:p>
      <w:pPr>
        <w:numPr>
          <w:ilvl w:val="0"/>
          <w:numId w:val="1"/>
        </w:numPr>
        <w:snapToGrid w:val="0"/>
        <w:spacing w:before="0" w:after="0" w:line="360" w:lineRule="auto"/>
        <w:ind w:left="233" w:leftChars="111" w:firstLine="601" w:firstLineChars="188"/>
        <w:jc w:val="both"/>
        <w:rPr>
          <w:rFonts w:ascii="仿宋" w:hAnsi="仿宋" w:eastAsia="仿宋"/>
          <w:color w:val="000000"/>
          <w:sz w:val="32"/>
          <w:szCs w:val="32"/>
        </w:rPr>
      </w:pPr>
      <w:r>
        <w:rPr>
          <w:rFonts w:ascii="仿宋" w:hAnsi="仿宋" w:eastAsia="仿宋"/>
          <w:color w:val="000000"/>
          <w:sz w:val="32"/>
          <w:szCs w:val="32"/>
        </w:rPr>
        <w:t>受疫情影响4月11日起两校区全部转为线上教学，汇总线上教学平台、线上教学资源等信息上报教务处，并加强组织学院督导组教学巡查，落实学院领导、系主任、任课教师本科课堂听课要求。</w:t>
      </w:r>
    </w:p>
    <w:p>
      <w:pPr>
        <w:numPr>
          <w:ilvl w:val="0"/>
          <w:numId w:val="1"/>
        </w:numPr>
        <w:snapToGrid w:val="0"/>
        <w:spacing w:before="0" w:after="0" w:line="360" w:lineRule="auto"/>
        <w:ind w:left="214" w:leftChars="102" w:firstLine="624" w:firstLineChars="195"/>
        <w:jc w:val="both"/>
        <w:rPr>
          <w:rFonts w:ascii="仿宋" w:hAnsi="仿宋" w:eastAsia="仿宋"/>
          <w:color w:val="000000"/>
          <w:sz w:val="32"/>
          <w:szCs w:val="32"/>
        </w:rPr>
      </w:pPr>
      <w:r>
        <w:rPr>
          <w:rFonts w:ascii="仿宋" w:hAnsi="仿宋" w:eastAsia="仿宋"/>
          <w:color w:val="000000"/>
          <w:sz w:val="32"/>
          <w:szCs w:val="32"/>
        </w:rPr>
        <w:t>完成4月份学生证补办工作，建立学生证补办操作指引。落实下学期本科教学任务，应学校和教务处最新规定配合马克思主义学院完成下学期形势政策课程教学任务安排。</w:t>
      </w:r>
    </w:p>
    <w:p>
      <w:pPr>
        <w:numPr>
          <w:ilvl w:val="0"/>
          <w:numId w:val="1"/>
        </w:numPr>
        <w:snapToGrid w:val="0"/>
        <w:spacing w:before="0" w:after="0" w:line="360" w:lineRule="auto"/>
        <w:ind w:left="214" w:leftChars="102" w:firstLine="624" w:firstLineChars="195"/>
        <w:jc w:val="both"/>
        <w:rPr>
          <w:rFonts w:ascii="仿宋" w:hAnsi="仿宋" w:eastAsia="仿宋"/>
          <w:color w:val="000000"/>
          <w:sz w:val="32"/>
          <w:szCs w:val="32"/>
        </w:rPr>
      </w:pPr>
      <w:r>
        <w:rPr>
          <w:rFonts w:ascii="仿宋" w:hAnsi="仿宋" w:eastAsia="仿宋"/>
          <w:color w:val="000000"/>
          <w:sz w:val="32"/>
          <w:szCs w:val="32"/>
        </w:rPr>
        <w:t>完成2021-2022学年第一学期试卷检查和归档工作，本次归档材料涉及本科必修课105个教学班、选修课84个教学班的试卷归档材料。核查毕业班学生学分，督促学分未修够学生进行字后一轮选课及学费缴交，确保学生按时毕业。安排公共管理学院2022届本科毕业论文线上答辩工作。</w:t>
      </w:r>
    </w:p>
    <w:p>
      <w:pPr>
        <w:numPr>
          <w:ilvl w:val="0"/>
          <w:numId w:val="1"/>
        </w:numPr>
        <w:snapToGrid w:val="0"/>
        <w:spacing w:before="0" w:after="0" w:line="360" w:lineRule="auto"/>
        <w:ind w:left="214" w:leftChars="102" w:firstLine="624" w:firstLineChars="195"/>
        <w:jc w:val="both"/>
        <w:rPr>
          <w:rFonts w:ascii="仿宋" w:hAnsi="仿宋" w:eastAsia="仿宋"/>
          <w:color w:val="000000"/>
          <w:sz w:val="32"/>
          <w:szCs w:val="32"/>
        </w:rPr>
      </w:pPr>
      <w:r>
        <w:rPr>
          <w:rFonts w:ascii="仿宋" w:hAnsi="仿宋" w:eastAsia="仿宋"/>
          <w:color w:val="000000"/>
          <w:sz w:val="32"/>
          <w:szCs w:val="32"/>
        </w:rPr>
        <w:t>组织开展2022届本科毕业论文自查及抽检工作</w:t>
      </w:r>
      <w:r>
        <w:rPr>
          <w:rFonts w:hint="eastAsia" w:ascii="仿宋" w:hAnsi="仿宋" w:eastAsia="仿宋"/>
          <w:color w:val="000000"/>
          <w:sz w:val="32"/>
          <w:szCs w:val="32"/>
          <w:lang w:eastAsia="zh-CN"/>
        </w:rPr>
        <w:t>和</w:t>
      </w:r>
      <w:r>
        <w:rPr>
          <w:rFonts w:ascii="仿宋" w:hAnsi="仿宋" w:eastAsia="仿宋"/>
          <w:color w:val="000000"/>
          <w:sz w:val="32"/>
          <w:szCs w:val="32"/>
        </w:rPr>
        <w:t>2022 年全国大学生英语竞赛（NECCS）报名工作</w:t>
      </w:r>
      <w:r>
        <w:rPr>
          <w:rFonts w:hint="eastAsia" w:ascii="仿宋" w:hAnsi="仿宋" w:eastAsia="仿宋"/>
          <w:color w:val="000000"/>
          <w:sz w:val="32"/>
          <w:szCs w:val="32"/>
          <w:lang w:eastAsia="zh-CN"/>
        </w:rPr>
        <w:t>。</w:t>
      </w:r>
    </w:p>
    <w:p>
      <w:pPr>
        <w:numPr>
          <w:ilvl w:val="0"/>
          <w:numId w:val="1"/>
        </w:numPr>
        <w:snapToGrid w:val="0"/>
        <w:spacing w:before="0" w:after="0" w:line="360" w:lineRule="auto"/>
        <w:ind w:left="214" w:leftChars="102" w:firstLine="624" w:firstLineChars="195"/>
        <w:jc w:val="both"/>
        <w:rPr>
          <w:rFonts w:ascii="仿宋" w:hAnsi="仿宋" w:eastAsia="仿宋"/>
          <w:color w:val="000000"/>
          <w:sz w:val="32"/>
          <w:szCs w:val="32"/>
        </w:rPr>
      </w:pPr>
      <w:r>
        <w:rPr>
          <w:rFonts w:ascii="仿宋" w:hAnsi="仿宋" w:eastAsia="仿宋"/>
          <w:color w:val="000000"/>
          <w:sz w:val="32"/>
          <w:szCs w:val="32"/>
        </w:rPr>
        <w:t>完成2022年春季第三批毕业学生学位授予审核、毕业学位证发放工作，负责2022届毕业生360人学历、学位证书图像信息采集与校对工作。</w:t>
      </w:r>
    </w:p>
    <w:p>
      <w:pPr>
        <w:numPr>
          <w:ilvl w:val="0"/>
          <w:numId w:val="1"/>
        </w:numPr>
        <w:snapToGrid w:val="0"/>
        <w:spacing w:before="0" w:after="0" w:line="360" w:lineRule="auto"/>
        <w:ind w:left="214" w:leftChars="102" w:firstLine="624" w:firstLineChars="195"/>
        <w:jc w:val="both"/>
        <w:rPr>
          <w:rFonts w:ascii="仿宋" w:hAnsi="仿宋" w:eastAsia="仿宋"/>
          <w:color w:val="000000"/>
          <w:sz w:val="32"/>
          <w:szCs w:val="32"/>
        </w:rPr>
      </w:pPr>
      <w:r>
        <w:rPr>
          <w:rFonts w:ascii="仿宋" w:hAnsi="仿宋" w:eastAsia="仿宋"/>
          <w:color w:val="000000"/>
          <w:sz w:val="32"/>
          <w:szCs w:val="32"/>
        </w:rPr>
        <w:t>4月 12 日 ，姚军</w:t>
      </w:r>
      <w:r>
        <w:rPr>
          <w:rFonts w:hint="eastAsia" w:ascii="仿宋" w:hAnsi="仿宋" w:eastAsia="仿宋"/>
          <w:color w:val="000000"/>
          <w:sz w:val="32"/>
          <w:szCs w:val="32"/>
          <w:lang w:val="en-US" w:eastAsia="zh-Hans"/>
        </w:rPr>
        <w:t>副</w:t>
      </w:r>
      <w:r>
        <w:rPr>
          <w:rFonts w:ascii="仿宋" w:hAnsi="仿宋" w:eastAsia="仿宋"/>
          <w:color w:val="000000"/>
          <w:sz w:val="32"/>
          <w:szCs w:val="32"/>
        </w:rPr>
        <w:t>院长在会议室601主持召开了2022年第7次党政联席会。会议</w:t>
      </w:r>
      <w:r>
        <w:rPr>
          <w:rFonts w:hint="eastAsia" w:ascii="仿宋" w:hAnsi="仿宋" w:eastAsia="仿宋"/>
          <w:color w:val="000000"/>
          <w:sz w:val="32"/>
          <w:szCs w:val="32"/>
          <w:lang w:val="en-US" w:eastAsia="zh-CN"/>
        </w:rPr>
        <w:t>讨论了教职工</w:t>
      </w:r>
      <w:r>
        <w:rPr>
          <w:rFonts w:ascii="仿宋" w:hAnsi="仿宋" w:eastAsia="仿宋"/>
          <w:color w:val="000000"/>
          <w:sz w:val="32"/>
          <w:szCs w:val="32"/>
        </w:rPr>
        <w:t>调离申请</w:t>
      </w:r>
      <w:r>
        <w:rPr>
          <w:rFonts w:hint="eastAsia" w:ascii="仿宋" w:hAnsi="仿宋" w:eastAsia="仿宋"/>
          <w:color w:val="000000"/>
          <w:sz w:val="32"/>
          <w:szCs w:val="32"/>
          <w:lang w:eastAsia="zh-CN"/>
        </w:rPr>
        <w:t>、</w:t>
      </w:r>
      <w:r>
        <w:rPr>
          <w:rFonts w:ascii="仿宋" w:hAnsi="仿宋" w:eastAsia="仿宋"/>
          <w:color w:val="000000"/>
          <w:sz w:val="32"/>
          <w:szCs w:val="32"/>
        </w:rPr>
        <w:t>2021年职称申报</w:t>
      </w:r>
      <w:r>
        <w:rPr>
          <w:rFonts w:hint="eastAsia" w:ascii="仿宋" w:hAnsi="仿宋" w:eastAsia="仿宋"/>
          <w:color w:val="000000"/>
          <w:sz w:val="32"/>
          <w:szCs w:val="32"/>
          <w:lang w:val="en-US" w:eastAsia="zh-CN"/>
        </w:rPr>
        <w:t>等</w:t>
      </w:r>
      <w:r>
        <w:rPr>
          <w:rFonts w:ascii="仿宋" w:hAnsi="仿宋" w:eastAsia="仿宋"/>
          <w:color w:val="000000"/>
          <w:sz w:val="32"/>
          <w:szCs w:val="32"/>
        </w:rPr>
        <w:t>事宜</w:t>
      </w:r>
      <w:r>
        <w:rPr>
          <w:rFonts w:hint="eastAsia" w:ascii="仿宋" w:hAnsi="仿宋" w:eastAsia="仿宋"/>
          <w:color w:val="000000"/>
          <w:sz w:val="32"/>
          <w:szCs w:val="32"/>
          <w:lang w:eastAsia="zh-CN"/>
        </w:rPr>
        <w:t>。</w:t>
      </w:r>
      <w:r>
        <w:rPr>
          <w:rFonts w:hint="eastAsia" w:ascii="仿宋" w:hAnsi="仿宋" w:eastAsia="仿宋"/>
          <w:color w:val="000000"/>
          <w:sz w:val="32"/>
          <w:szCs w:val="32"/>
          <w:lang w:val="en-US" w:eastAsia="zh-CN"/>
        </w:rPr>
        <w:t>同时，</w:t>
      </w:r>
      <w:r>
        <w:rPr>
          <w:rFonts w:ascii="仿宋" w:hAnsi="仿宋" w:eastAsia="仿宋"/>
          <w:color w:val="000000"/>
          <w:sz w:val="32"/>
          <w:szCs w:val="32"/>
        </w:rPr>
        <w:t>会议讨论近期以来的工作开展情况及存在的问题，并布署近期需要完成的工作：1、制订并完成公共管理学院2021年发展白皮书；（2）按时按质完成公共管理校级重点学科3年建设验收报告；（3）结合广州城市管理研究联盟轮值单位工作计划，筹划</w:t>
      </w:r>
      <w:r>
        <w:rPr>
          <w:rFonts w:hint="eastAsia" w:ascii="仿宋" w:hAnsi="仿宋" w:eastAsia="仿宋"/>
          <w:color w:val="000000"/>
          <w:sz w:val="32"/>
          <w:szCs w:val="32"/>
          <w:lang w:val="en-US" w:eastAsia="zh-Hans"/>
        </w:rPr>
        <w:t>我院</w:t>
      </w:r>
      <w:r>
        <w:rPr>
          <w:rFonts w:ascii="仿宋" w:hAnsi="仿宋" w:eastAsia="仿宋"/>
          <w:color w:val="000000"/>
          <w:sz w:val="32"/>
          <w:szCs w:val="32"/>
        </w:rPr>
        <w:t>学生城市管理案例创新大赛</w:t>
      </w:r>
      <w:r>
        <w:rPr>
          <w:rFonts w:hint="eastAsia" w:ascii="仿宋" w:hAnsi="仿宋" w:eastAsia="仿宋"/>
          <w:color w:val="000000"/>
          <w:sz w:val="32"/>
          <w:szCs w:val="32"/>
          <w:lang w:val="en-US" w:eastAsia="zh-Hans"/>
        </w:rPr>
        <w:t>预演赛</w:t>
      </w:r>
      <w:r>
        <w:rPr>
          <w:rFonts w:ascii="仿宋" w:hAnsi="仿宋" w:eastAsia="仿宋"/>
          <w:color w:val="000000"/>
          <w:sz w:val="32"/>
          <w:szCs w:val="32"/>
        </w:rPr>
        <w:t>。</w:t>
      </w:r>
    </w:p>
    <w:p>
      <w:pPr>
        <w:numPr>
          <w:ilvl w:val="0"/>
          <w:numId w:val="2"/>
        </w:numPr>
        <w:ind w:left="216" w:leftChars="103" w:firstLine="622" w:firstLineChars="0"/>
        <w:rPr>
          <w:rFonts w:hint="default" w:ascii="Calibri" w:hAnsi="Calibri" w:eastAsia="宋体" w:cs="Times New Roman"/>
          <w:kern w:val="2"/>
          <w:sz w:val="28"/>
          <w:szCs w:val="28"/>
          <w:lang w:val="en-US" w:eastAsia="zh-CN" w:bidi="ar-SA"/>
        </w:rPr>
      </w:pPr>
      <w:r>
        <w:rPr>
          <w:rFonts w:hint="eastAsia" w:ascii="仿宋_GB2312" w:hAnsi="仿宋_GB2312" w:eastAsia="仿宋_GB2312" w:cs="仿宋_GB2312"/>
          <w:sz w:val="32"/>
          <w:szCs w:val="32"/>
          <w:lang w:val="en-US" w:eastAsia="zh-CN"/>
        </w:rPr>
        <w:t>安</w:t>
      </w:r>
      <w:r>
        <w:rPr>
          <w:rFonts w:hint="eastAsia" w:ascii="仿宋_GB2312" w:hAnsi="仿宋_GB2312" w:eastAsia="仿宋_GB2312" w:cs="仿宋_GB2312"/>
          <w:color w:val="000000"/>
          <w:sz w:val="32"/>
          <w:szCs w:val="32"/>
          <w:lang w:val="en-US" w:eastAsia="zh-CN"/>
        </w:rPr>
        <w:t>排</w:t>
      </w:r>
      <w:r>
        <w:rPr>
          <w:rFonts w:hint="eastAsia" w:ascii="仿宋" w:hAnsi="仿宋" w:eastAsia="仿宋"/>
          <w:color w:val="000000"/>
          <w:sz w:val="32"/>
          <w:szCs w:val="32"/>
          <w:lang w:val="en-US" w:eastAsia="zh-CN"/>
        </w:rPr>
        <w:t>第七周课堂教学全部转为线上教学，做好研究生线上课程信息汇总报送工作。继续做好2021届研究生学位档案材料整理工作，完成2021-2022学年第二学期《课程教学计划、教学进度计划》汇总、报送工作。完成2021-2022学年第一学期试卷整理归档工作。</w:t>
      </w:r>
    </w:p>
    <w:p>
      <w:pPr>
        <w:numPr>
          <w:ilvl w:val="0"/>
          <w:numId w:val="1"/>
        </w:numPr>
        <w:snapToGrid w:val="0"/>
        <w:spacing w:before="0" w:after="0" w:line="360" w:lineRule="auto"/>
        <w:ind w:left="214" w:leftChars="102" w:firstLine="624" w:firstLineChars="195"/>
        <w:jc w:val="both"/>
        <w:rPr>
          <w:rFonts w:ascii="仿宋" w:hAnsi="仿宋" w:eastAsia="仿宋"/>
          <w:color w:val="000000"/>
          <w:sz w:val="32"/>
          <w:szCs w:val="32"/>
        </w:rPr>
      </w:pPr>
      <w:r>
        <w:rPr>
          <w:rFonts w:hint="eastAsia" w:ascii="仿宋_GB2312" w:hAnsi="仿宋_GB2312" w:eastAsia="仿宋_GB2312" w:cs="仿宋_GB2312"/>
          <w:kern w:val="2"/>
          <w:sz w:val="32"/>
          <w:szCs w:val="32"/>
          <w:lang w:val="en-US" w:eastAsia="zh-CN" w:bidi="ar-SA"/>
        </w:rPr>
        <w:t>开展2022届夏季毕业生77位学生论文盲审工作和组织开展2022年硕士研究生指导教师遴选和招生资格审查工作。组织申报2022年广东省研究生教育创新计划项目。</w:t>
      </w:r>
    </w:p>
    <w:p>
      <w:pPr>
        <w:numPr>
          <w:ilvl w:val="0"/>
          <w:numId w:val="0"/>
        </w:numPr>
        <w:snapToGrid w:val="0"/>
        <w:spacing w:before="0" w:after="0" w:line="360" w:lineRule="auto"/>
        <w:jc w:val="both"/>
        <w:rPr>
          <w:rFonts w:hint="eastAsia" w:ascii="黑体" w:hAnsi="黑体" w:eastAsia="黑体" w:cs="黑体"/>
          <w:color w:val="000000"/>
          <w:sz w:val="32"/>
          <w:szCs w:val="32"/>
        </w:rPr>
      </w:pPr>
      <w:r>
        <w:rPr>
          <w:rFonts w:hint="eastAsia" w:ascii="黑体" w:hAnsi="黑体" w:eastAsia="黑体" w:cs="黑体"/>
          <w:color w:val="000000"/>
          <w:sz w:val="32"/>
          <w:szCs w:val="32"/>
        </w:rPr>
        <w:t>【</w:t>
      </w:r>
      <w:r>
        <w:rPr>
          <w:rFonts w:hint="eastAsia" w:ascii="黑体" w:hAnsi="黑体" w:eastAsia="黑体" w:cs="黑体"/>
          <w:b/>
          <w:bCs/>
          <w:color w:val="000000"/>
          <w:sz w:val="32"/>
          <w:szCs w:val="32"/>
        </w:rPr>
        <w:t>学生工作</w:t>
      </w:r>
      <w:r>
        <w:rPr>
          <w:rFonts w:hint="eastAsia" w:ascii="黑体" w:hAnsi="黑体" w:eastAsia="黑体" w:cs="黑体"/>
          <w:color w:val="000000"/>
          <w:sz w:val="32"/>
          <w:szCs w:val="32"/>
        </w:rPr>
        <w:t>】</w:t>
      </w:r>
    </w:p>
    <w:p>
      <w:pPr>
        <w:numPr>
          <w:ilvl w:val="0"/>
          <w:numId w:val="1"/>
        </w:numPr>
        <w:snapToGrid w:val="0"/>
        <w:spacing w:before="0" w:after="0" w:line="360" w:lineRule="auto"/>
        <w:ind w:left="214" w:leftChars="102" w:firstLine="624" w:firstLineChars="195"/>
        <w:jc w:val="both"/>
        <w:rPr>
          <w:rFonts w:ascii="仿宋" w:hAnsi="仿宋" w:eastAsia="仿宋"/>
          <w:color w:val="000000"/>
          <w:sz w:val="32"/>
          <w:szCs w:val="32"/>
        </w:rPr>
      </w:pPr>
      <w:r>
        <w:rPr>
          <w:rFonts w:ascii="仿宋" w:hAnsi="仿宋" w:eastAsia="仿宋"/>
          <w:color w:val="000000"/>
          <w:sz w:val="32"/>
          <w:szCs w:val="32"/>
        </w:rPr>
        <w:t>4月9日至12日组织校本部在校学生全员核酸检测，学院团委组织动员志愿者超过50人次参与核酸检测工作。</w:t>
      </w:r>
    </w:p>
    <w:p>
      <w:pPr>
        <w:numPr>
          <w:ilvl w:val="0"/>
          <w:numId w:val="1"/>
        </w:numPr>
        <w:snapToGrid w:val="0"/>
        <w:spacing w:before="0" w:after="0" w:line="360" w:lineRule="auto"/>
        <w:ind w:left="214" w:leftChars="102" w:firstLine="624" w:firstLineChars="195"/>
        <w:jc w:val="both"/>
        <w:rPr>
          <w:rFonts w:ascii="仿宋" w:hAnsi="仿宋" w:eastAsia="仿宋"/>
          <w:color w:val="000000"/>
          <w:sz w:val="32"/>
          <w:szCs w:val="32"/>
        </w:rPr>
      </w:pPr>
      <w:r>
        <w:rPr>
          <w:rFonts w:ascii="仿宋" w:hAnsi="仿宋" w:eastAsia="仿宋"/>
          <w:color w:val="000000"/>
          <w:sz w:val="32"/>
          <w:szCs w:val="32"/>
        </w:rPr>
        <w:t>4月13日，开展“奋进自律广财人”就业典型事迹推荐工作，推荐了21级行政管理（专升本）1班陈业诗作为大学生参军典型事迹人物代表，14级劳动与社会保障2班叶盖文作为大学生创业典型事迹人物代表，15级行政管理专业孙静洁作为大学生“西部计划”典型事迹人物代表参与全校评选工作。</w:t>
      </w:r>
    </w:p>
    <w:p>
      <w:pPr>
        <w:numPr>
          <w:ilvl w:val="0"/>
          <w:numId w:val="1"/>
        </w:numPr>
        <w:snapToGrid w:val="0"/>
        <w:spacing w:before="0" w:after="0" w:line="360" w:lineRule="auto"/>
        <w:ind w:left="214" w:leftChars="102" w:firstLine="624" w:firstLineChars="195"/>
        <w:jc w:val="both"/>
        <w:rPr>
          <w:rFonts w:ascii="仿宋" w:hAnsi="仿宋" w:eastAsia="仿宋"/>
          <w:color w:val="000000"/>
          <w:sz w:val="32"/>
          <w:szCs w:val="32"/>
        </w:rPr>
      </w:pPr>
      <w:r>
        <w:rPr>
          <w:rFonts w:ascii="仿宋" w:hAnsi="仿宋" w:eastAsia="仿宋"/>
          <w:color w:val="000000"/>
          <w:sz w:val="32"/>
          <w:szCs w:val="32"/>
        </w:rPr>
        <w:t>4月13日，开展了4月份18级毕业班就业情况调查工作，截止目前为止，研究生已拟录取20人，其中土地资源管理专业研究生拟录取人数占该专业总人数的20%，准备研究生复试2人；已拿到境外高校offer4人，准备申请境外高校offer5人；已签订三方协议40人（4位学生还未完成三方协议回传），准备签订三方协议10人。</w:t>
      </w:r>
    </w:p>
    <w:p>
      <w:pPr>
        <w:numPr>
          <w:ilvl w:val="0"/>
          <w:numId w:val="1"/>
        </w:numPr>
        <w:snapToGrid w:val="0"/>
        <w:spacing w:before="0" w:after="0" w:line="360" w:lineRule="auto"/>
        <w:ind w:left="214" w:leftChars="102" w:firstLine="624" w:firstLineChars="195"/>
        <w:jc w:val="both"/>
        <w:rPr>
          <w:rFonts w:ascii="仿宋" w:hAnsi="仿宋" w:eastAsia="仿宋"/>
          <w:color w:val="000000"/>
          <w:sz w:val="32"/>
          <w:szCs w:val="32"/>
        </w:rPr>
      </w:pPr>
      <w:r>
        <w:rPr>
          <w:rFonts w:ascii="仿宋" w:hAnsi="仿宋" w:eastAsia="仿宋"/>
          <w:color w:val="000000"/>
          <w:sz w:val="32"/>
          <w:szCs w:val="32"/>
        </w:rPr>
        <w:t>组织开展2022年新冠肺炎疫情专项资助工作，并向学校助学中心进行申请，共3人申请此项资助。团委、学生会协助学院校友会收集历届团委、学生会学生干部联系方式，组建历届学生干部微信群。</w:t>
      </w:r>
    </w:p>
    <w:p>
      <w:pPr>
        <w:numPr>
          <w:ilvl w:val="0"/>
          <w:numId w:val="1"/>
        </w:numPr>
        <w:snapToGrid w:val="0"/>
        <w:spacing w:before="0" w:after="0" w:line="360" w:lineRule="auto"/>
        <w:ind w:left="214" w:leftChars="102" w:firstLine="624" w:firstLineChars="195"/>
        <w:jc w:val="both"/>
        <w:rPr>
          <w:rFonts w:ascii="仿宋" w:hAnsi="仿宋" w:eastAsia="仿宋"/>
          <w:color w:val="000000"/>
          <w:sz w:val="32"/>
          <w:szCs w:val="32"/>
        </w:rPr>
      </w:pPr>
      <w:r>
        <w:rPr>
          <w:rFonts w:ascii="仿宋" w:hAnsi="仿宋" w:eastAsia="仿宋"/>
          <w:color w:val="000000"/>
          <w:sz w:val="32"/>
          <w:szCs w:val="32"/>
        </w:rPr>
        <w:t>心理辅导站组织暂缓返校学生收听“疫情期暂缓返校学生心理健康调适”线上讲座。4月9-10日，组织学生收听“抗击疫情全国心理委员大讲堂”系列公益讲座。组织2019级行政管理2班开展“国家安全教育”四月主题教育，组织2019级行政管理1班开展“缅怀先烈，铭记历史”四月主题教育。第十一届房地产营销大赛获得本学期素质拓展、第二课堂校级精品活动立项。</w:t>
      </w:r>
      <w:bookmarkStart w:id="0" w:name="_GoBack"/>
      <w:bookmarkEnd w:id="0"/>
    </w:p>
    <w:sectPr>
      <w:footerReference r:id="rId3" w:type="default"/>
      <w:pgSz w:w="11906" w:h="16838"/>
      <w:pgMar w:top="1440" w:right="1800" w:bottom="1440" w:left="2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93AFD7E6-D078-4579-AC98-9AA00F0644B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0A999EC4-1B28-424F-AE41-0D608578C7A5}"/>
  </w:font>
  <w:font w:name="方正小标宋简体">
    <w:panose1 w:val="03000509000000000000"/>
    <w:charset w:val="86"/>
    <w:family w:val="auto"/>
    <w:pitch w:val="default"/>
    <w:sig w:usb0="00000001" w:usb1="080E0000" w:usb2="00000000" w:usb3="00000000" w:csb0="00040000" w:csb1="00000000"/>
    <w:embedRegular r:id="rId3" w:fontKey="{0E9804B3-5D4D-4B79-A9B4-9E903424C644}"/>
  </w:font>
  <w:font w:name="微软雅黑">
    <w:panose1 w:val="020B0503020204020204"/>
    <w:charset w:val="86"/>
    <w:family w:val="auto"/>
    <w:pitch w:val="default"/>
    <w:sig w:usb0="80000287" w:usb1="280F3C52" w:usb2="00000016" w:usb3="00000000" w:csb0="0004001F" w:csb1="00000000"/>
    <w:embedRegular r:id="rId4" w:fontKey="{D4255F92-CA0A-48ED-879E-2E4EEBA4D996}"/>
  </w:font>
  <w:font w:name="仿宋">
    <w:panose1 w:val="02010609060101010101"/>
    <w:charset w:val="86"/>
    <w:family w:val="auto"/>
    <w:pitch w:val="default"/>
    <w:sig w:usb0="800002BF" w:usb1="38CF7CFA" w:usb2="00000016" w:usb3="00000000" w:csb0="00040001" w:csb1="00000000"/>
    <w:embedRegular r:id="rId5" w:fontKey="{C3303271-ADA7-4F32-8981-5AFB721DD9E8}"/>
  </w:font>
  <w:font w:name="仿宋_GB2312">
    <w:panose1 w:val="02010609030101010101"/>
    <w:charset w:val="86"/>
    <w:family w:val="auto"/>
    <w:pitch w:val="default"/>
    <w:sig w:usb0="00000001" w:usb1="080E0000" w:usb2="00000000" w:usb3="00000000" w:csb0="00040000" w:csb1="00000000"/>
    <w:embedRegular r:id="rId6" w:fontKey="{7D3D88E8-5338-4098-8966-AA1660A960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before="0" w:after="0" w:line="240" w:lineRule="auto"/>
      <w:jc w:val="left"/>
      <w:rPr>
        <w:rFonts w:ascii="宋体" w:hAnsi="宋体" w:eastAsia="宋体"/>
        <w:color w:val="000000"/>
        <w:sz w:val="18"/>
        <w:szCs w:val="18"/>
      </w:rPr>
    </w:pPr>
  </w:p>
  <w:p>
    <w:pPr>
      <w:snapToGrid w:val="0"/>
      <w:spacing w:before="0" w:after="0" w:line="240" w:lineRule="auto"/>
      <w:jc w:val="left"/>
      <w:rPr>
        <w:rFonts w:ascii="微软雅黑" w:hAnsi="微软雅黑" w:eastAsia="微软雅黑"/>
        <w:color w:val="000000"/>
        <w:sz w:val="21"/>
        <w:szCs w:val="21"/>
      </w:rPr>
    </w:pPr>
    <w:r>
      <w:fldChar w:fldCharType="begin"/>
    </w:r>
    <w:r>
      <w:rPr>
        <w:rFonts w:ascii="宋体" w:hAnsi="宋体" w:eastAsia="宋体"/>
        <w:sz w:val="18"/>
        <w:szCs w:val="18"/>
      </w:rPr>
      <w:instrText xml:space="preserve">PAGE</w:instrText>
    </w:r>
    <w:r>
      <w:fldChar w:fldCharType="end"/>
    </w:r>
  </w:p>
  <w:p>
    <w:pPr>
      <w:snapToGrid w:val="0"/>
      <w:spacing w:before="0" w:after="0" w:line="240" w:lineRule="auto"/>
      <w:jc w:val="left"/>
      <w:rPr>
        <w:rFonts w:ascii="微软雅黑" w:hAnsi="微软雅黑" w:eastAsia="微软雅黑"/>
        <w:color w:val="000000"/>
        <w:sz w:val="21"/>
        <w:szCs w:val="21"/>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357641"/>
    <w:multiLevelType w:val="singleLevel"/>
    <w:tmpl w:val="E2357641"/>
    <w:lvl w:ilvl="0" w:tentative="0">
      <w:start w:val="1"/>
      <w:numFmt w:val="bullet"/>
      <w:lvlText w:val=""/>
      <w:lvlJc w:val="left"/>
      <w:pPr>
        <w:ind w:left="420" w:hanging="420"/>
      </w:pPr>
      <w:rPr>
        <w:rFonts w:hint="default" w:ascii="Wingdings" w:hAnsi="Wingdings"/>
      </w:rPr>
    </w:lvl>
  </w:abstractNum>
  <w:abstractNum w:abstractNumId="1">
    <w:nsid w:val="0053208E"/>
    <w:multiLevelType w:val="singleLevel"/>
    <w:tmpl w:val="0053208E"/>
    <w:lvl w:ilvl="0" w:tentative="0">
      <w:start w:val="1"/>
      <w:numFmt w:val="bullet"/>
      <w:lvlText w:val=""/>
      <w:lvlJc w:val="left"/>
      <w:pPr>
        <w:ind w:left="420" w:hanging="420"/>
      </w:pPr>
      <w:rPr>
        <w:rFonts w:hint="default" w:ascii="Wingdings" w:hAnsi="Wingdings" w:eastAsia="Wingdings"/>
        <w:bC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59531B"/>
    <w:rsid w:val="00616505"/>
    <w:rsid w:val="0062213C"/>
    <w:rsid w:val="00633F40"/>
    <w:rsid w:val="006549AD"/>
    <w:rsid w:val="00684D9C"/>
    <w:rsid w:val="00A60633"/>
    <w:rsid w:val="00BA0C1A"/>
    <w:rsid w:val="00C061CB"/>
    <w:rsid w:val="00C604EC"/>
    <w:rsid w:val="00E26251"/>
    <w:rsid w:val="00EA1EE8"/>
    <w:rsid w:val="00F53662"/>
    <w:rsid w:val="083D07F0"/>
    <w:rsid w:val="0C963744"/>
    <w:rsid w:val="0F0A4EAE"/>
    <w:rsid w:val="105E3B74"/>
    <w:rsid w:val="1C2C4424"/>
    <w:rsid w:val="1CD54CE6"/>
    <w:rsid w:val="1DEC38DC"/>
    <w:rsid w:val="30456175"/>
    <w:rsid w:val="36772279"/>
    <w:rsid w:val="3A561F13"/>
    <w:rsid w:val="434067C1"/>
    <w:rsid w:val="45FC6485"/>
    <w:rsid w:val="513B1C65"/>
    <w:rsid w:val="568D20C3"/>
    <w:rsid w:val="58921634"/>
    <w:rsid w:val="6EAF13B0"/>
    <w:rsid w:val="71061E72"/>
    <w:rsid w:val="7A3B2499"/>
    <w:rsid w:val="9F377B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eastAsia="宋体" w:cs="Times New Roman"/>
      <w:szCs w:val="21"/>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semiHidden/>
    <w:qFormat/>
    <w:uiPriority w:val="99"/>
    <w:rPr>
      <w:sz w:val="18"/>
      <w:szCs w:val="18"/>
    </w:rPr>
  </w:style>
  <w:style w:type="character" w:customStyle="1" w:styleId="9">
    <w:name w:val="页脚 字符"/>
    <w:basedOn w:val="7"/>
    <w:link w:val="3"/>
    <w:semiHidden/>
    <w:qFormat/>
    <w:uiPriority w:val="99"/>
    <w:rPr>
      <w:sz w:val="18"/>
      <w:szCs w:val="18"/>
    </w:rPr>
  </w:style>
  <w:style w:type="paragraph" w:customStyle="1"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2713</Words>
  <Characters>2872</Characters>
  <Lines>1</Lines>
  <Paragraphs>1</Paragraphs>
  <TotalTime>0</TotalTime>
  <ScaleCrop>false</ScaleCrop>
  <LinksUpToDate>false</LinksUpToDate>
  <CharactersWithSpaces>2893</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2017-01-10T17:10:00Z</dcterms:created>
  <dc:creator>Tencent</dc:creator>
  <cp:lastModifiedBy>曾华强(19951522)</cp:lastModifiedBy>
  <dcterms:modified xsi:type="dcterms:W3CDTF">2022-04-15T08:13:40Z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commondata">
    <vt:lpwstr>eyJoZGlkIjoiMWNkOGY4MTNjNjE2M2Q2NmNkOTVjNTkwOGYwZWRjZTUifQ==</vt:lpwstr>
  </property>
  <property fmtid="{D5CDD505-2E9C-101B-9397-08002B2CF9AE}" pid="4" name="ICV">
    <vt:lpwstr>E35DF9F179444611874D7D374F9CA173</vt:lpwstr>
  </property>
</Properties>
</file>