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20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 9</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30</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1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10" w:leftChars="0" w:firstLine="420"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numPr>
          <w:ilvl w:val="0"/>
          <w:numId w:val="2"/>
        </w:numPr>
        <w:ind w:left="0" w:leftChars="0" w:firstLine="422" w:firstLineChars="125"/>
        <w:rPr>
          <w:rFonts w:hint="eastAsia" w:ascii="仿宋_GB2312" w:hAnsi="仿宋_GB2312" w:eastAsia="仿宋_GB2312" w:cs="仿宋_GB2312"/>
          <w:sz w:val="32"/>
          <w:szCs w:val="32"/>
        </w:rPr>
      </w:pPr>
      <w:r>
        <w:rPr>
          <w:rFonts w:hint="eastAsia" w:ascii="仿宋_GB2312" w:hAnsi="仿宋_GB2312" w:eastAsia="仿宋_GB2312" w:cs="仿宋_GB2312"/>
          <w:b/>
          <w:bCs/>
          <w:i w:val="0"/>
          <w:iCs w:val="0"/>
          <w:caps w:val="0"/>
          <w:color w:val="222222"/>
          <w:spacing w:val="8"/>
          <w:sz w:val="32"/>
          <w:szCs w:val="32"/>
          <w:shd w:val="clear" w:fill="FFFFFF"/>
        </w:rPr>
        <w:t>开学思政第一课开讲</w:t>
      </w:r>
      <w:r>
        <w:rPr>
          <w:rFonts w:hint="eastAsia" w:ascii="仿宋" w:hAnsi="仿宋" w:eastAsia="仿宋"/>
          <w:color w:val="000000"/>
          <w:sz w:val="32"/>
          <w:szCs w:val="32"/>
          <w:lang w:eastAsia="zh-CN"/>
        </w:rPr>
        <w:t>。</w:t>
      </w:r>
      <w:r>
        <w:rPr>
          <w:rFonts w:hint="eastAsia" w:ascii="仿宋_GB2312" w:hAnsi="仿宋_GB2312" w:eastAsia="仿宋_GB2312" w:cs="仿宋_GB2312"/>
          <w:sz w:val="32"/>
          <w:szCs w:val="32"/>
        </w:rPr>
        <w:t>2022年9月25日晚20:00，广东财经大学公共管理学院“学习习近平总书记青年寄语，做奋进自律广财人”开学思政第一课在佛山校区同心楼报告厅开讲，公共管理学院党委书记钟智主讲。钟智书记从“学习习近平总书记对青年寄语”、“新时代青年使命担当”、“做奋进自律广财人”三个部分讲授了这节思政第一课。</w:t>
      </w:r>
    </w:p>
    <w:p>
      <w:pPr>
        <w:pStyle w:val="2"/>
        <w:rPr>
          <w:rFonts w:hint="eastAsia"/>
        </w:rPr>
      </w:pPr>
      <w:r>
        <w:drawing>
          <wp:inline distT="0" distB="0" distL="114300" distR="114300">
            <wp:extent cx="5110480" cy="2540635"/>
            <wp:effectExtent l="0" t="0" r="1397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10480" cy="254063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b/>
          <w:bCs/>
          <w:sz w:val="32"/>
          <w:szCs w:val="32"/>
          <w:lang w:val="en-US" w:eastAsia="zh-CN"/>
        </w:rPr>
        <w:t>2022级行政管理专业2班开展党史学习教育。</w:t>
      </w:r>
      <w:r>
        <w:rPr>
          <w:rFonts w:hint="eastAsia"/>
          <w:sz w:val="28"/>
          <w:szCs w:val="28"/>
          <w:lang w:val="en-US" w:eastAsia="zh-CN"/>
        </w:rPr>
        <w:t>秋风送爽，书声琅琅。为持续推动党史学习教育走深走实，加强大一新生的信仰教育和精神文明建设，广东财经大学公共管理学院2022级行政管理2班于9月27日下午3点在励学楼409教室开展主题为“星星之火，从这里点燃”的党史教育课。此次党史教育课由2022级行政管理2班班主任袁立超主讲，带领同学们重温中国共产党人为理想信念奋不顾身、浴血奋战的英勇事迹。</w:t>
      </w:r>
    </w:p>
    <w:p>
      <w:pPr>
        <w:pStyle w:val="2"/>
        <w:rPr>
          <w:rFonts w:hint="eastAsia"/>
          <w:lang w:eastAsia="zh-CN"/>
        </w:rPr>
      </w:pPr>
      <w:r>
        <w:rPr>
          <w:rFonts w:hint="eastAsia"/>
          <w:sz w:val="24"/>
          <w:szCs w:val="24"/>
          <w:lang w:val="en-US" w:eastAsia="zh-CN"/>
        </w:rPr>
        <w:drawing>
          <wp:inline distT="0" distB="0" distL="114300" distR="114300">
            <wp:extent cx="2644775" cy="2254250"/>
            <wp:effectExtent l="0" t="0" r="3175" b="12700"/>
            <wp:docPr id="9" name="图片 9" descr="eecc77be6aff4542dd994875b3b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ecc77be6aff4542dd994875b3b6836"/>
                    <pic:cNvPicPr>
                      <a:picLocks noChangeAspect="1"/>
                    </pic:cNvPicPr>
                  </pic:nvPicPr>
                  <pic:blipFill>
                    <a:blip r:embed="rId5"/>
                    <a:stretch>
                      <a:fillRect/>
                    </a:stretch>
                  </pic:blipFill>
                  <pic:spPr>
                    <a:xfrm>
                      <a:off x="0" y="0"/>
                      <a:ext cx="2644775" cy="2254250"/>
                    </a:xfrm>
                    <a:prstGeom prst="rect">
                      <a:avLst/>
                    </a:prstGeom>
                  </pic:spPr>
                </pic:pic>
              </a:graphicData>
            </a:graphic>
          </wp:inline>
        </w:drawing>
      </w:r>
      <w:r>
        <w:rPr>
          <w:rFonts w:hint="default"/>
          <w:sz w:val="24"/>
          <w:szCs w:val="24"/>
          <w:lang w:val="en-US" w:eastAsia="zh-CN"/>
        </w:rPr>
        <w:drawing>
          <wp:inline distT="0" distB="0" distL="114300" distR="114300">
            <wp:extent cx="2425700" cy="2272665"/>
            <wp:effectExtent l="0" t="0" r="12700" b="13335"/>
            <wp:docPr id="10" name="图片 10" descr="0e11f75b5c99c0317ee5f7c85efa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e11f75b5c99c0317ee5f7c85efa8d6"/>
                    <pic:cNvPicPr>
                      <a:picLocks noChangeAspect="1"/>
                    </pic:cNvPicPr>
                  </pic:nvPicPr>
                  <pic:blipFill>
                    <a:blip r:embed="rId6"/>
                    <a:stretch>
                      <a:fillRect/>
                    </a:stretch>
                  </pic:blipFill>
                  <pic:spPr>
                    <a:xfrm>
                      <a:off x="0" y="0"/>
                      <a:ext cx="2425700" cy="227266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0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eastAsia="zh-CN"/>
        </w:rPr>
        <w:t>。</w:t>
      </w:r>
      <w:bookmarkStart w:id="0" w:name="_GoBack"/>
      <w:bookmarkEnd w:id="0"/>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numPr>
          <w:ilvl w:val="0"/>
          <w:numId w:val="1"/>
        </w:numPr>
        <w:spacing w:line="360" w:lineRule="auto"/>
        <w:ind w:left="210" w:leftChars="0" w:firstLine="419" w:firstLineChars="0"/>
        <w:rPr>
          <w:rFonts w:hint="eastAsia" w:ascii="仿宋_GB2312" w:hAnsi="仿宋_GB2312" w:eastAsia="仿宋_GB2312" w:cs="仿宋_GB2312"/>
          <w:sz w:val="28"/>
          <w:szCs w:val="28"/>
        </w:rPr>
      </w:pPr>
      <w:r>
        <w:rPr>
          <w:rFonts w:ascii="Times New Roman" w:hAnsi="Times New Roman" w:eastAsia="宋体" w:cs="Times New Roman"/>
          <w:b/>
          <w:bCs/>
          <w:sz w:val="36"/>
          <w:szCs w:val="36"/>
        </w:rPr>
        <w:t>学院学子</w:t>
      </w:r>
      <w:r>
        <w:rPr>
          <w:rFonts w:hint="eastAsia" w:ascii="Times New Roman" w:hAnsi="Times New Roman" w:eastAsia="宋体" w:cs="Times New Roman"/>
          <w:b/>
          <w:bCs/>
          <w:sz w:val="36"/>
          <w:szCs w:val="36"/>
          <w:lang w:eastAsia="zh-CN"/>
        </w:rPr>
        <w:t>“</w:t>
      </w:r>
      <w:r>
        <w:rPr>
          <w:rFonts w:hint="eastAsia" w:ascii="Times New Roman" w:hAnsi="Times New Roman" w:eastAsia="宋体" w:cs="Times New Roman"/>
          <w:b/>
          <w:bCs/>
          <w:sz w:val="36"/>
          <w:szCs w:val="36"/>
          <w:lang w:val="en-US" w:eastAsia="zh-CN"/>
        </w:rPr>
        <w:t>沉浸式</w:t>
      </w:r>
      <w:r>
        <w:rPr>
          <w:rFonts w:hint="eastAsia" w:ascii="Times New Roman" w:hAnsi="Times New Roman" w:eastAsia="宋体" w:cs="Times New Roman"/>
          <w:b/>
          <w:bCs/>
          <w:sz w:val="36"/>
          <w:szCs w:val="36"/>
          <w:lang w:eastAsia="zh-CN"/>
        </w:rPr>
        <w:t>”</w:t>
      </w:r>
      <w:r>
        <w:rPr>
          <w:rFonts w:hint="eastAsia" w:ascii="Times New Roman" w:hAnsi="Times New Roman" w:eastAsia="宋体" w:cs="Times New Roman"/>
          <w:b/>
          <w:bCs/>
          <w:sz w:val="36"/>
          <w:szCs w:val="36"/>
          <w:lang w:val="en-US" w:eastAsia="zh-CN"/>
        </w:rPr>
        <w:t>体验</w:t>
      </w:r>
      <w:r>
        <w:rPr>
          <w:rFonts w:ascii="Times New Roman" w:hAnsi="Times New Roman" w:eastAsia="宋体" w:cs="Times New Roman"/>
          <w:b/>
          <w:bCs/>
          <w:sz w:val="36"/>
          <w:szCs w:val="36"/>
        </w:rPr>
        <w:t>“智慧城市”管理</w:t>
      </w:r>
      <w:r>
        <w:rPr>
          <w:rFonts w:hint="eastAsia" w:ascii="仿宋" w:hAnsi="仿宋" w:eastAsia="仿宋"/>
          <w:color w:val="000000"/>
          <w:sz w:val="32"/>
          <w:szCs w:val="32"/>
          <w:lang w:eastAsia="zh-CN"/>
        </w:rPr>
        <w:t>。</w:t>
      </w:r>
      <w:r>
        <w:rPr>
          <w:rFonts w:hint="eastAsia" w:ascii="仿宋_GB2312" w:hAnsi="仿宋_GB2312" w:eastAsia="仿宋_GB2312" w:cs="仿宋_GB2312"/>
          <w:sz w:val="28"/>
          <w:szCs w:val="28"/>
        </w:rPr>
        <w:t>2022年9月21日上午</w:t>
      </w:r>
      <w:r>
        <w:rPr>
          <w:rFonts w:hint="eastAsia" w:ascii="仿宋_GB2312" w:hAnsi="仿宋_GB2312" w:eastAsia="仿宋_GB2312" w:cs="仿宋_GB2312"/>
          <w:sz w:val="28"/>
          <w:szCs w:val="28"/>
          <w:lang w:val="en-US" w:eastAsia="zh-CN"/>
        </w:rPr>
        <w:t>公共管理学院</w:t>
      </w:r>
      <w:r>
        <w:rPr>
          <w:rFonts w:hint="eastAsia" w:ascii="仿宋_GB2312" w:hAnsi="仿宋_GB2312" w:eastAsia="仿宋_GB2312" w:cs="仿宋_GB2312"/>
          <w:sz w:val="28"/>
          <w:szCs w:val="28"/>
        </w:rPr>
        <w:t>2020城市管理专业</w:t>
      </w:r>
      <w:r>
        <w:rPr>
          <w:rFonts w:hint="eastAsia" w:ascii="仿宋_GB2312" w:hAnsi="仿宋_GB2312" w:eastAsia="仿宋_GB2312" w:cs="仿宋_GB2312"/>
          <w:sz w:val="28"/>
          <w:szCs w:val="28"/>
          <w:lang w:val="en-US" w:eastAsia="zh-CN"/>
        </w:rPr>
        <w:t>20多位</w:t>
      </w:r>
      <w:r>
        <w:rPr>
          <w:rFonts w:hint="eastAsia" w:ascii="仿宋_GB2312" w:hAnsi="仿宋_GB2312" w:eastAsia="仿宋_GB2312" w:cs="仿宋_GB2312"/>
          <w:sz w:val="28"/>
          <w:szCs w:val="28"/>
        </w:rPr>
        <w:t>学子</w:t>
      </w:r>
      <w:r>
        <w:rPr>
          <w:rFonts w:hint="eastAsia" w:ascii="仿宋_GB2312" w:hAnsi="仿宋_GB2312" w:eastAsia="仿宋_GB2312" w:cs="仿宋_GB2312"/>
          <w:sz w:val="28"/>
          <w:szCs w:val="28"/>
          <w:lang w:val="en-US" w:eastAsia="zh-CN"/>
        </w:rPr>
        <w:t>在学院城市管理系</w:t>
      </w:r>
      <w:r>
        <w:rPr>
          <w:rFonts w:hint="eastAsia" w:ascii="仿宋_GB2312" w:hAnsi="仿宋_GB2312" w:eastAsia="仿宋_GB2312" w:cs="仿宋_GB2312"/>
          <w:sz w:val="28"/>
          <w:szCs w:val="28"/>
        </w:rPr>
        <w:t>主任王妙妙</w:t>
      </w:r>
      <w:r>
        <w:rPr>
          <w:rFonts w:hint="eastAsia" w:ascii="仿宋_GB2312" w:hAnsi="仿宋_GB2312" w:eastAsia="仿宋_GB2312" w:cs="仿宋_GB2312"/>
          <w:sz w:val="28"/>
          <w:szCs w:val="28"/>
          <w:lang w:val="en-US" w:eastAsia="zh-CN"/>
        </w:rPr>
        <w:t>带领下</w:t>
      </w:r>
      <w:r>
        <w:rPr>
          <w:rFonts w:hint="eastAsia" w:ascii="仿宋_GB2312" w:hAnsi="仿宋_GB2312" w:eastAsia="仿宋_GB2312" w:cs="仿宋_GB2312"/>
          <w:sz w:val="28"/>
          <w:szCs w:val="28"/>
        </w:rPr>
        <w:t>应邀参观黄埔“智慧城市”管理模式。学子</w:t>
      </w:r>
      <w:r>
        <w:rPr>
          <w:rFonts w:hint="eastAsia" w:ascii="仿宋_GB2312" w:hAnsi="仿宋_GB2312" w:eastAsia="仿宋_GB2312" w:cs="仿宋_GB2312"/>
          <w:sz w:val="28"/>
          <w:szCs w:val="28"/>
          <w:lang w:val="en-US" w:eastAsia="zh-CN"/>
        </w:rPr>
        <w:t>们</w:t>
      </w:r>
      <w:r>
        <w:rPr>
          <w:rFonts w:hint="eastAsia" w:ascii="仿宋_GB2312" w:hAnsi="仿宋_GB2312" w:eastAsia="仿宋_GB2312" w:cs="仿宋_GB2312"/>
          <w:sz w:val="28"/>
          <w:szCs w:val="28"/>
        </w:rPr>
        <w:t>听取了文远知行集团商业化产品在智慧城市领域—智慧出行、智慧货运和智慧环卫等的落地应用及运营</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与文远知行WeRide集团总工程师就无人驾驶环卫车与传统环卫的协作、如何科学使用智慧环卫所积累的大数据、未来智慧环卫催生何种新型人才等方面展开了热烈的讨论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实地观摩</w:t>
      </w:r>
      <w:r>
        <w:rPr>
          <w:rFonts w:hint="eastAsia" w:ascii="仿宋_GB2312" w:hAnsi="仿宋_GB2312" w:eastAsia="仿宋_GB2312" w:cs="仿宋_GB2312"/>
          <w:sz w:val="28"/>
          <w:szCs w:val="28"/>
          <w:lang w:val="en-US" w:eastAsia="zh-CN"/>
        </w:rPr>
        <w:t>了</w:t>
      </w:r>
      <w:r>
        <w:rPr>
          <w:rFonts w:hint="eastAsia" w:ascii="仿宋_GB2312" w:hAnsi="仿宋_GB2312" w:eastAsia="仿宋_GB2312" w:cs="仿宋_GB2312"/>
          <w:sz w:val="28"/>
          <w:szCs w:val="28"/>
        </w:rPr>
        <w:t>无人驾驶环卫车的清扫、洒水降尘、喷洒消杀等日常清扫作业环节。同时，城市管理师生就智慧环卫和城市管理的关系接受了媒体采访。</w:t>
      </w:r>
    </w:p>
    <w:p>
      <w:pPr>
        <w:pStyle w:val="2"/>
      </w:pPr>
      <w:r>
        <w:rPr>
          <w:rFonts w:ascii="Times New Roman" w:hAnsi="Times New Roman" w:cs="Times New Roman"/>
        </w:rPr>
        <w:drawing>
          <wp:inline distT="0" distB="0" distL="0" distR="0">
            <wp:extent cx="2743835" cy="1743075"/>
            <wp:effectExtent l="0" t="0" r="184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43835" cy="1743075"/>
                    </a:xfrm>
                    <a:prstGeom prst="rect">
                      <a:avLst/>
                    </a:prstGeom>
                  </pic:spPr>
                </pic:pic>
              </a:graphicData>
            </a:graphic>
          </wp:inline>
        </w:drawing>
      </w:r>
      <w:r>
        <w:rPr>
          <w:rFonts w:ascii="Times New Roman" w:hAnsi="Times New Roman" w:cs="Times New Roman"/>
        </w:rPr>
        <w:drawing>
          <wp:inline distT="0" distB="0" distL="0" distR="0">
            <wp:extent cx="2454275" cy="17526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454275" cy="1752600"/>
                    </a:xfrm>
                    <a:prstGeom prst="rect">
                      <a:avLst/>
                    </a:prstGeom>
                  </pic:spPr>
                </pic:pic>
              </a:graphicData>
            </a:graphic>
          </wp:inline>
        </w:drawing>
      </w:r>
    </w:p>
    <w:p>
      <w:pPr>
        <w:keepNext w:val="0"/>
        <w:keepLines w:val="0"/>
        <w:widowControl w:val="0"/>
        <w:numPr>
          <w:ilvl w:val="0"/>
          <w:numId w:val="3"/>
        </w:numPr>
        <w:suppressLineNumbers w:val="0"/>
        <w:spacing w:before="0" w:beforeAutospacing="0" w:after="0" w:afterAutospacing="0"/>
        <w:ind w:left="0" w:leftChars="0" w:right="0" w:rightChars="0" w:firstLine="421" w:firstLineChars="131"/>
        <w:jc w:val="both"/>
        <w:textAlignment w:val="baseline"/>
        <w:rPr>
          <w:rFonts w:hint="eastAsia" w:ascii="仿宋_GB2312" w:eastAsia="仿宋_GB2312" w:cs="仿宋_GB2312"/>
          <w:kern w:val="2"/>
          <w:sz w:val="28"/>
          <w:szCs w:val="28"/>
          <w:vertAlign w:val="baseline"/>
        </w:rPr>
      </w:pPr>
      <w:r>
        <w:rPr>
          <w:rFonts w:hint="eastAsia" w:ascii="宋体" w:hAnsi="宋体" w:eastAsia="宋体" w:cs="宋体"/>
          <w:b/>
          <w:bCs/>
          <w:kern w:val="2"/>
          <w:sz w:val="32"/>
          <w:szCs w:val="32"/>
          <w:vertAlign w:val="baseline"/>
          <w:lang w:val="en-US" w:eastAsia="zh-CN" w:bidi="ar"/>
        </w:rPr>
        <w:t>举办《“千年海门”与城南屏障》主题讲座。</w:t>
      </w:r>
      <w:r>
        <w:rPr>
          <w:rFonts w:hint="eastAsia" w:ascii="仿宋_GB2312" w:hAnsi="等线" w:eastAsia="仿宋_GB2312" w:cs="仿宋_GB2312"/>
          <w:kern w:val="2"/>
          <w:sz w:val="28"/>
          <w:szCs w:val="28"/>
          <w:vertAlign w:val="baseline"/>
          <w:lang w:val="en-US" w:eastAsia="zh-CN" w:bidi="ar"/>
        </w:rPr>
        <w:t>2022年9月24号上午9:30，由广州市社科联主办，广州炎黄文化研究会和广东财经大学华南商业史研究中心承办的学术讲座——《“千年海门”与“城南屏障”：广州城“南拓”番禺大谷围地区历史脉络》在广东财经大学广州校区公管学院642室顺利举行。本场是2022年广州市社科联“社科服务走基层”学会科普系列活“明清以来广州的城市建设与景观变迁”第三场讲座。番禺区非遗中心办公室主任、副研究员朱光文老师担任主讲嘉宾。讲座采用线上线下同步进行的方式举行，广东财经大学公共管理学院社会工作、城市管理、房地产管理等及文化产业管理、商务英语与汉语言文学创意写作等专业的学生，相关研究学者及广州历史文化爱好者共同参与。</w:t>
      </w:r>
    </w:p>
    <w:p>
      <w:pPr>
        <w:pStyle w:val="2"/>
        <w:rPr>
          <w:rFonts w:hint="eastAsia"/>
        </w:rPr>
      </w:pPr>
      <w:r>
        <w:drawing>
          <wp:inline distT="0" distB="0" distL="114300" distR="114300">
            <wp:extent cx="5267960" cy="1356995"/>
            <wp:effectExtent l="0" t="0" r="889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7960" cy="135699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eastAsia" w:ascii="仿宋" w:hAnsi="仿宋" w:eastAsia="仿宋"/>
          <w:b/>
          <w:bCs/>
          <w:color w:val="000000"/>
          <w:sz w:val="32"/>
          <w:szCs w:val="32"/>
          <w:lang w:eastAsia="zh-CN"/>
        </w:rPr>
      </w:pP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fldChar w:fldCharType="begin"/>
      </w:r>
      <w:r>
        <w:rPr>
          <w:rFonts w:hint="eastAsia" w:ascii="仿宋" w:hAnsi="仿宋" w:eastAsia="仿宋"/>
          <w:color w:val="000000"/>
          <w:sz w:val="32"/>
          <w:szCs w:val="32"/>
          <w:lang w:eastAsia="zh-CN"/>
        </w:rPr>
        <w:instrText xml:space="preserve"> HYPERLINK "" \h </w:instrText>
      </w:r>
      <w:r>
        <w:rPr>
          <w:rFonts w:hint="eastAsia" w:ascii="仿宋" w:hAnsi="仿宋" w:eastAsia="仿宋"/>
          <w:color w:val="000000"/>
          <w:sz w:val="32"/>
          <w:szCs w:val="32"/>
          <w:lang w:eastAsia="zh-CN"/>
        </w:rPr>
        <w:fldChar w:fldCharType="separate"/>
      </w:r>
      <w:r>
        <w:rPr>
          <w:rFonts w:hint="eastAsia" w:ascii="仿宋" w:hAnsi="仿宋" w:eastAsia="仿宋"/>
          <w:color w:val="000000"/>
          <w:sz w:val="32"/>
          <w:szCs w:val="32"/>
          <w:lang w:eastAsia="zh-CN"/>
        </w:rPr>
        <w:t>。</w:t>
      </w:r>
      <w:r>
        <w:rPr>
          <w:rFonts w:hint="eastAsia" w:ascii="仿宋" w:hAnsi="仿宋" w:eastAsia="仿宋"/>
          <w:color w:val="000000"/>
          <w:sz w:val="32"/>
          <w:szCs w:val="32"/>
          <w:lang w:eastAsia="zh-CN"/>
        </w:rPr>
        <w:fldChar w:fldCharType="end"/>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28"/>
          <w:szCs w:val="28"/>
          <w:lang w:eastAsia="zh-CN"/>
        </w:rPr>
      </w:pPr>
      <w:r>
        <w:rPr>
          <w:rFonts w:hint="eastAsia" w:ascii="微软雅黑" w:hAnsi="微软雅黑" w:eastAsia="微软雅黑" w:cs="微软雅黑"/>
          <w:i w:val="0"/>
          <w:iCs w:val="0"/>
          <w:caps w:val="0"/>
          <w:color w:val="222222"/>
          <w:spacing w:val="8"/>
          <w:sz w:val="33"/>
          <w:szCs w:val="33"/>
          <w:shd w:val="clear" w:fill="FFFFFF"/>
        </w:rPr>
        <w:t>圆满举</w:t>
      </w:r>
      <w:r>
        <w:rPr>
          <w:rFonts w:hint="eastAsia" w:ascii="微软雅黑" w:hAnsi="微软雅黑" w:eastAsia="微软雅黑" w:cs="微软雅黑"/>
          <w:i w:val="0"/>
          <w:iCs w:val="0"/>
          <w:caps w:val="0"/>
          <w:color w:val="222222"/>
          <w:spacing w:val="8"/>
          <w:sz w:val="33"/>
          <w:szCs w:val="33"/>
          <w:shd w:val="clear" w:fill="FFFFFF"/>
          <w:lang w:eastAsia="zh-CN"/>
        </w:rPr>
        <w:t>行</w:t>
      </w:r>
      <w:r>
        <w:rPr>
          <w:rFonts w:hint="eastAsia" w:ascii="微软雅黑" w:hAnsi="微软雅黑" w:eastAsia="微软雅黑" w:cs="微软雅黑"/>
          <w:i w:val="0"/>
          <w:iCs w:val="0"/>
          <w:caps w:val="0"/>
          <w:color w:val="222222"/>
          <w:spacing w:val="8"/>
          <w:sz w:val="33"/>
          <w:szCs w:val="33"/>
          <w:shd w:val="clear" w:fill="FFFFFF"/>
        </w:rPr>
        <w:t>2022级本科新生见面会</w:t>
      </w:r>
      <w:r>
        <w:rPr>
          <w:rFonts w:hint="eastAsia" w:ascii="仿宋" w:hAnsi="仿宋" w:eastAsia="仿宋"/>
          <w:color w:val="000000"/>
          <w:sz w:val="32"/>
          <w:szCs w:val="32"/>
          <w:lang w:eastAsia="zh-CN"/>
        </w:rPr>
        <w:t>。</w:t>
      </w:r>
      <w:r>
        <w:rPr>
          <w:rFonts w:hint="eastAsia" w:ascii="仿宋_GB2312" w:hAnsi="仿宋_GB2312" w:eastAsia="仿宋_GB2312" w:cs="仿宋_GB2312"/>
          <w:sz w:val="28"/>
          <w:szCs w:val="28"/>
        </w:rPr>
        <w:t>金秋九月，丹桂飘香。9月25日晚19:00，广东财经大学公共管理学院2022级本科新生见面会在佛山校区同心楼报告厅举行。公共管理学院党委书记钟智、副院长（主持工作）姚军、副书记李天德、副院长戴昌桥、副院长张慧霞、各系主任、教师代表、辅导员以及2022级本科新生参加了新生见面会。见面会由戴昌桥副院长主持。</w:t>
      </w:r>
    </w:p>
    <w:p>
      <w:pPr>
        <w:pStyle w:val="2"/>
        <w:rPr>
          <w:rFonts w:hint="eastAsia"/>
          <w:lang w:eastAsia="zh-CN"/>
        </w:rPr>
      </w:pPr>
      <w:r>
        <w:rPr>
          <w:rFonts w:ascii="宋体" w:hAnsi="宋体" w:eastAsia="宋体" w:cs="宋体"/>
          <w:kern w:val="0"/>
          <w:sz w:val="24"/>
          <w:szCs w:val="24"/>
          <w:lang w:val="en-US" w:eastAsia="zh-CN" w:bidi="ar"/>
        </w:rPr>
        <w:drawing>
          <wp:inline distT="0" distB="0" distL="114300" distR="114300">
            <wp:extent cx="5300980" cy="2116455"/>
            <wp:effectExtent l="0" t="0" r="13970" b="17145"/>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10"/>
                    <a:stretch>
                      <a:fillRect/>
                    </a:stretch>
                  </pic:blipFill>
                  <pic:spPr>
                    <a:xfrm>
                      <a:off x="0" y="0"/>
                      <a:ext cx="5300980" cy="211645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center"/>
        <w:textAlignment w:val="auto"/>
        <w:rPr>
          <w:rFonts w:hint="eastAsia" w:ascii="仿宋" w:hAnsi="仿宋" w:eastAsia="仿宋"/>
          <w:color w:val="00000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both"/>
        <w:textAlignment w:val="auto"/>
        <w:rPr>
          <w:rFonts w:hint="eastAsia" w:ascii="仿宋" w:hAnsi="仿宋" w:eastAsia="仿宋"/>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0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pStyle w:val="6"/>
        <w:keepNext w:val="0"/>
        <w:keepLines w:val="0"/>
        <w:widowControl/>
        <w:numPr>
          <w:ilvl w:val="0"/>
          <w:numId w:val="4"/>
        </w:numPr>
        <w:suppressLineNumbers w:val="0"/>
        <w:shd w:val="clear" w:fill="FFFFFF"/>
        <w:autoSpaceDE w:val="0"/>
        <w:autoSpaceDN/>
        <w:adjustRightInd w:val="0"/>
        <w:snapToGrid w:val="0"/>
        <w:spacing w:before="0" w:beforeAutospacing="1" w:after="0" w:afterAutospacing="1" w:line="360" w:lineRule="auto"/>
        <w:ind w:left="0" w:leftChars="0" w:right="0" w:firstLine="419" w:firstLineChars="131"/>
        <w:jc w:val="both"/>
        <w:rPr>
          <w:rFonts w:hint="default" w:ascii="Tahoma" w:hAnsi="Tahoma" w:eastAsia="Tahoma" w:cs="Tahoma"/>
          <w:b w:val="0"/>
          <w:bCs w:val="0"/>
          <w:i w:val="0"/>
          <w:iCs w:val="0"/>
          <w:caps w:val="0"/>
          <w:color w:val="333333"/>
          <w:spacing w:val="0"/>
          <w:kern w:val="0"/>
          <w:sz w:val="28"/>
          <w:szCs w:val="28"/>
          <w:shd w:val="clear" w:fill="FFFFFF"/>
          <w:lang w:val="en-US" w:eastAsia="zh-CN" w:bidi="ar"/>
        </w:rPr>
      </w:pPr>
      <w:r>
        <w:rPr>
          <w:rFonts w:hint="default" w:ascii="Tahoma" w:hAnsi="Tahoma" w:eastAsia="Tahoma" w:cs="Tahoma"/>
          <w:b/>
          <w:bCs/>
          <w:i w:val="0"/>
          <w:iCs w:val="0"/>
          <w:caps w:val="0"/>
          <w:color w:val="333333"/>
          <w:spacing w:val="0"/>
          <w:kern w:val="0"/>
          <w:sz w:val="32"/>
          <w:szCs w:val="32"/>
          <w:shd w:val="clear" w:fill="FFFFFF"/>
        </w:rPr>
        <w:t>华邦美好家园养老集团副总裁苏逸一行来</w:t>
      </w:r>
      <w:r>
        <w:rPr>
          <w:rFonts w:hint="eastAsia" w:ascii="宋体" w:hAnsi="宋体" w:eastAsia="宋体" w:cs="宋体"/>
          <w:b/>
          <w:bCs/>
          <w:i w:val="0"/>
          <w:iCs w:val="0"/>
          <w:caps w:val="0"/>
          <w:color w:val="333333"/>
          <w:spacing w:val="0"/>
          <w:kern w:val="0"/>
          <w:sz w:val="32"/>
          <w:szCs w:val="32"/>
          <w:shd w:val="clear" w:fill="FFFFFF"/>
        </w:rPr>
        <w:t>学院</w:t>
      </w:r>
      <w:r>
        <w:rPr>
          <w:rFonts w:hint="default" w:ascii="Tahoma" w:hAnsi="Tahoma" w:eastAsia="Tahoma" w:cs="Tahoma"/>
          <w:b/>
          <w:bCs/>
          <w:i w:val="0"/>
          <w:iCs w:val="0"/>
          <w:caps w:val="0"/>
          <w:color w:val="333333"/>
          <w:spacing w:val="0"/>
          <w:kern w:val="0"/>
          <w:sz w:val="32"/>
          <w:szCs w:val="32"/>
          <w:shd w:val="clear" w:fill="FFFFFF"/>
        </w:rPr>
        <w:t>交流</w:t>
      </w:r>
      <w:r>
        <w:rPr>
          <w:rFonts w:hint="eastAsia" w:ascii="Tahoma" w:hAnsi="Tahoma" w:cs="Tahoma"/>
          <w:b/>
          <w:bCs/>
          <w:i w:val="0"/>
          <w:iCs w:val="0"/>
          <w:caps w:val="0"/>
          <w:color w:val="333333"/>
          <w:spacing w:val="0"/>
          <w:kern w:val="0"/>
          <w:sz w:val="32"/>
          <w:szCs w:val="32"/>
          <w:shd w:val="clear" w:fill="FFFFFF"/>
          <w:lang w:eastAsia="zh-CN"/>
        </w:rPr>
        <w:t>。</w:t>
      </w:r>
      <w:r>
        <w:rPr>
          <w:rFonts w:hint="default" w:ascii="Tahoma" w:hAnsi="Tahoma" w:eastAsia="Tahoma" w:cs="Tahoma"/>
          <w:b w:val="0"/>
          <w:bCs w:val="0"/>
          <w:i w:val="0"/>
          <w:iCs w:val="0"/>
          <w:caps w:val="0"/>
          <w:color w:val="333333"/>
          <w:spacing w:val="0"/>
          <w:kern w:val="0"/>
          <w:sz w:val="28"/>
          <w:szCs w:val="28"/>
          <w:shd w:val="clear" w:fill="FFFFFF"/>
          <w:lang w:val="en-US" w:eastAsia="zh-CN" w:bidi="ar"/>
        </w:rPr>
        <w:t>2002年9月26日下午，华邦美好家园养老集团（以下简称华邦集团）副总裁苏逸一行五人来</w:t>
      </w:r>
      <w:r>
        <w:rPr>
          <w:rFonts w:hint="eastAsia" w:ascii="宋体" w:hAnsi="宋体" w:eastAsia="宋体" w:cs="宋体"/>
          <w:b w:val="0"/>
          <w:bCs w:val="0"/>
          <w:i w:val="0"/>
          <w:iCs w:val="0"/>
          <w:caps w:val="0"/>
          <w:color w:val="333333"/>
          <w:spacing w:val="0"/>
          <w:kern w:val="0"/>
          <w:sz w:val="28"/>
          <w:szCs w:val="28"/>
          <w:shd w:val="clear" w:fill="FFFFFF"/>
          <w:lang w:val="en-US" w:eastAsia="zh-CN" w:bidi="ar"/>
        </w:rPr>
        <w:t>公共管理学院</w:t>
      </w:r>
      <w:r>
        <w:rPr>
          <w:rFonts w:hint="default" w:ascii="Tahoma" w:hAnsi="Tahoma" w:eastAsia="Tahoma" w:cs="Tahoma"/>
          <w:b w:val="0"/>
          <w:bCs w:val="0"/>
          <w:i w:val="0"/>
          <w:iCs w:val="0"/>
          <w:caps w:val="0"/>
          <w:color w:val="333333"/>
          <w:spacing w:val="0"/>
          <w:kern w:val="0"/>
          <w:sz w:val="28"/>
          <w:szCs w:val="28"/>
          <w:shd w:val="clear" w:fill="FFFFFF"/>
          <w:lang w:val="en-US" w:eastAsia="zh-CN" w:bidi="ar"/>
        </w:rPr>
        <w:t>交流。学院党委书记钟智，院长姚军，社会学学科负责人艾战胜教授参加了交流座谈会。钟智书记首先对华邦集团苏逸副总裁一行的到来表示热烈欢迎，并对校企合作给予积极肯定。姚军院长介绍公共管理学院的发展和办学特色。艾战胜教授介绍了社会工作的专业发展、定位及人才培养特色，尤其重点介绍了健康社会工作和金融社会工作的人才培养目标、课程体系、实践教学体系等。华邦集团的各位领导对公共管理学院的办学实力、特色和社会工作人才的培养表达了肯定，并从多方面介绍了集团的发展和人才需情况求，就加强校企合作提出了初步设想。交流座谈会上，双方就建立教学实践基地、人才培养、养老产业发展研究、毕业生就业等问题进行了深入交流，并在校企合作培养人才、产学研联动等多方面达成初步共识，交流座谈会取得了积极成效。</w:t>
      </w:r>
      <w:r>
        <w:drawing>
          <wp:inline distT="0" distB="0" distL="114300" distR="114300">
            <wp:extent cx="5295265" cy="2521585"/>
            <wp:effectExtent l="0" t="0" r="63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95265" cy="2521585"/>
                    </a:xfrm>
                    <a:prstGeom prst="rect">
                      <a:avLst/>
                    </a:prstGeom>
                    <a:noFill/>
                    <a:ln>
                      <a:noFill/>
                    </a:ln>
                  </pic:spPr>
                </pic:pic>
              </a:graphicData>
            </a:graphic>
          </wp:inline>
        </w:drawing>
      </w:r>
    </w:p>
    <w:p>
      <w:pPr>
        <w:pStyle w:val="6"/>
        <w:keepNext w:val="0"/>
        <w:keepLines w:val="0"/>
        <w:widowControl/>
        <w:suppressLineNumbers w:val="0"/>
        <w:shd w:val="clear" w:fill="FFFFFF"/>
        <w:autoSpaceDE w:val="0"/>
        <w:autoSpaceDN/>
        <w:adjustRightInd w:val="0"/>
        <w:snapToGrid w:val="0"/>
        <w:spacing w:before="0" w:beforeAutospacing="1" w:after="0" w:afterAutospacing="1" w:line="360" w:lineRule="auto"/>
        <w:ind w:left="0" w:right="0" w:firstLine="560" w:firstLineChars="200"/>
        <w:jc w:val="both"/>
        <w:rPr>
          <w:rFonts w:hint="default" w:ascii="Tahoma" w:hAnsi="Tahoma" w:eastAsia="Tahoma" w:cs="Tahoma"/>
          <w:b w:val="0"/>
          <w:bCs w:val="0"/>
          <w:i w:val="0"/>
          <w:iCs w:val="0"/>
          <w:caps w:val="0"/>
          <w:color w:val="333333"/>
          <w:spacing w:val="0"/>
          <w:kern w:val="0"/>
          <w:sz w:val="28"/>
          <w:szCs w:val="28"/>
          <w:shd w:val="clear" w:fill="FFFFFF"/>
          <w:lang w:val="en-US" w:eastAsia="zh-CN" w:bidi="ar"/>
        </w:rPr>
      </w:pPr>
    </w:p>
    <w:p>
      <w:pPr>
        <w:pStyle w:val="3"/>
        <w:keepNext w:val="0"/>
        <w:keepLines w:val="0"/>
        <w:widowControl/>
        <w:numPr>
          <w:ilvl w:val="0"/>
          <w:numId w:val="5"/>
        </w:numPr>
        <w:suppressLineNumbers w:val="0"/>
        <w:autoSpaceDE w:val="0"/>
        <w:autoSpaceDN/>
        <w:adjustRightInd w:val="0"/>
        <w:snapToGrid w:val="0"/>
        <w:spacing w:before="210" w:beforeAutospacing="0" w:after="210" w:afterAutospacing="0" w:line="360" w:lineRule="auto"/>
        <w:ind w:left="0" w:leftChars="0" w:right="0" w:firstLine="419" w:firstLineChars="131"/>
        <w:jc w:val="left"/>
        <w:rPr>
          <w:rFonts w:hint="default" w:ascii="Tahoma" w:hAnsi="Tahoma" w:eastAsia="Tahoma" w:cs="Tahoma"/>
          <w:b/>
          <w:bCs/>
          <w:i w:val="0"/>
          <w:iCs w:val="0"/>
          <w:caps w:val="0"/>
          <w:color w:val="333333"/>
          <w:spacing w:val="0"/>
          <w:kern w:val="0"/>
          <w:sz w:val="32"/>
          <w:szCs w:val="32"/>
          <w:shd w:val="clear" w:fill="FFFFFF"/>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before="0" w:after="0" w:line="360" w:lineRule="auto"/>
        <w:ind w:left="0" w:right="0" w:firstLine="720" w:firstLineChars="200"/>
        <w:jc w:val="both"/>
        <w:textAlignment w:val="auto"/>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00" w:leftChars="0" w:firstLine="430" w:firstLineChars="0"/>
        <w:jc w:val="both"/>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20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numPr>
          <w:ilvl w:val="0"/>
          <w:numId w:val="6"/>
        </w:numPr>
        <w:snapToGrid w:val="0"/>
        <w:spacing w:before="0" w:after="0" w:line="360" w:lineRule="auto"/>
        <w:ind w:left="0" w:leftChars="0" w:firstLine="416" w:firstLine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C77D8"/>
    <w:multiLevelType w:val="singleLevel"/>
    <w:tmpl w:val="A41C77D8"/>
    <w:lvl w:ilvl="0" w:tentative="0">
      <w:start w:val="1"/>
      <w:numFmt w:val="bullet"/>
      <w:lvlText w:val=""/>
      <w:lvlJc w:val="left"/>
      <w:pPr>
        <w:ind w:left="420" w:hanging="420"/>
      </w:pPr>
      <w:rPr>
        <w:rFonts w:hint="default" w:ascii="Wingdings" w:hAnsi="Wingdings"/>
      </w:rPr>
    </w:lvl>
  </w:abstractNum>
  <w:abstractNum w:abstractNumId="1">
    <w:nsid w:val="B57E89C6"/>
    <w:multiLevelType w:val="singleLevel"/>
    <w:tmpl w:val="B57E89C6"/>
    <w:lvl w:ilvl="0" w:tentative="0">
      <w:start w:val="1"/>
      <w:numFmt w:val="bullet"/>
      <w:lvlText w:val=""/>
      <w:lvlJc w:val="left"/>
      <w:pPr>
        <w:ind w:left="420" w:hanging="420"/>
      </w:pPr>
      <w:rPr>
        <w:rFonts w:hint="default" w:ascii="Wingdings" w:hAnsi="Wingdings"/>
      </w:rPr>
    </w:lvl>
  </w:abstractNum>
  <w:abstractNum w:abstractNumId="2">
    <w:nsid w:val="EE6AF128"/>
    <w:multiLevelType w:val="singleLevel"/>
    <w:tmpl w:val="EE6AF128"/>
    <w:lvl w:ilvl="0" w:tentative="0">
      <w:start w:val="1"/>
      <w:numFmt w:val="bullet"/>
      <w:lvlText w:val=""/>
      <w:lvlJc w:val="left"/>
      <w:pPr>
        <w:ind w:left="420" w:hanging="420"/>
      </w:pPr>
      <w:rPr>
        <w:rFonts w:hint="default" w:ascii="Wingdings" w:hAnsi="Wingdings"/>
      </w:rPr>
    </w:lvl>
  </w:abstractNum>
  <w:abstractNum w:abstractNumId="3">
    <w:nsid w:val="0053208E"/>
    <w:multiLevelType w:val="singleLevel"/>
    <w:tmpl w:val="0053208E"/>
    <w:lvl w:ilvl="0" w:tentative="0">
      <w:start w:val="1"/>
      <w:numFmt w:val="bullet"/>
      <w:lvlText w:val=""/>
      <w:lvlJc w:val="left"/>
      <w:pPr>
        <w:ind w:left="420" w:hanging="420"/>
      </w:pPr>
      <w:rPr>
        <w:rFonts w:hint="default" w:ascii="Wingdings" w:hAnsi="Wingdings" w:eastAsia="Wingdings"/>
        <w:bCs/>
      </w:rPr>
    </w:lvl>
  </w:abstractNum>
  <w:abstractNum w:abstractNumId="4">
    <w:nsid w:val="0F403913"/>
    <w:multiLevelType w:val="singleLevel"/>
    <w:tmpl w:val="0F403913"/>
    <w:lvl w:ilvl="0" w:tentative="0">
      <w:start w:val="1"/>
      <w:numFmt w:val="bullet"/>
      <w:lvlText w:val=""/>
      <w:lvlJc w:val="left"/>
      <w:pPr>
        <w:ind w:left="420" w:hanging="420"/>
      </w:pPr>
      <w:rPr>
        <w:rFonts w:hint="default" w:ascii="Wingdings" w:hAnsi="Wingdings"/>
      </w:rPr>
    </w:lvl>
  </w:abstractNum>
  <w:abstractNum w:abstractNumId="5">
    <w:nsid w:val="42B3B648"/>
    <w:multiLevelType w:val="singleLevel"/>
    <w:tmpl w:val="42B3B648"/>
    <w:lvl w:ilvl="0" w:tentative="0">
      <w:start w:val="1"/>
      <w:numFmt w:val="bullet"/>
      <w:lvlText w:val=""/>
      <w:lvlJc w:val="left"/>
      <w:pPr>
        <w:ind w:left="630" w:hanging="420"/>
      </w:pPr>
      <w:rPr>
        <w:rFonts w:hint="default" w:ascii="Wingdings" w:hAnsi="Wingdings"/>
        <w:sz w:val="32"/>
        <w:szCs w:val="32"/>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2AB192E"/>
    <w:rsid w:val="17F72C91"/>
    <w:rsid w:val="1A614E9E"/>
    <w:rsid w:val="1FF335AB"/>
    <w:rsid w:val="22EC43C9"/>
    <w:rsid w:val="2EA25342"/>
    <w:rsid w:val="34437A7B"/>
    <w:rsid w:val="34E277EB"/>
    <w:rsid w:val="3FAB5883"/>
    <w:rsid w:val="420B5B16"/>
    <w:rsid w:val="4CBC40C3"/>
    <w:rsid w:val="54D344CF"/>
    <w:rsid w:val="563572F6"/>
    <w:rsid w:val="65023631"/>
    <w:rsid w:val="66BC6E6D"/>
    <w:rsid w:val="690B2E56"/>
    <w:rsid w:val="71F81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1445</Words>
  <Characters>1499</Characters>
  <Lines>0</Lines>
  <Paragraphs>0</Paragraphs>
  <TotalTime>1</TotalTime>
  <ScaleCrop>false</ScaleCrop>
  <LinksUpToDate>false</LinksUpToDate>
  <CharactersWithSpaces>1504</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2022-04-22T08:58:00Z</dcterms:created>
  <dc:creator>曾华强(19951522)</dc:creator>
  <cp:lastModifiedBy>曾华强</cp:lastModifiedBy>
  <cp:lastPrinted>2022-04-22T09:19:00Z</cp:lastPrinted>
  <dcterms:modified xsi:type="dcterms:W3CDTF">2022-09-30T01:29:41Z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BB05E5B4B1EF425DADF65DE3A14F271F</vt:lpwstr>
  </property>
  <property fmtid="{D5CDD505-2E9C-101B-9397-08002B2CF9AE}" pid="4" name="commondata">
    <vt:lpwstr>eyJoZGlkIjoiMWNkOGY4MTNjNjE2M2Q2NmNkOTVjNTkwOGYwZWRjZTUifQ==</vt:lpwstr>
  </property>
</Properties>
</file>